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4AC" w:rsidRDefault="00BC5AE8">
      <w:pPr>
        <w:snapToGrid w:val="0"/>
        <w:spacing w:line="312" w:lineRule="auto"/>
        <w:jc w:val="left"/>
        <w:rPr>
          <w:rFonts w:ascii="Arial" w:hAnsi="Arial" w:cs="Arial"/>
          <w:b/>
          <w:bCs/>
          <w:sz w:val="17"/>
          <w:szCs w:val="17"/>
        </w:rPr>
      </w:pPr>
      <w:r>
        <w:rPr>
          <w:rFonts w:ascii="Arial" w:hAnsi="Arial" w:cs="Arial" w:hint="eastAsia"/>
          <w:noProof/>
          <w:sz w:val="17"/>
          <w:szCs w:val="17"/>
          <w:lang w:val="en-US"/>
        </w:rPr>
        <w:drawing>
          <wp:anchor distT="0" distB="0" distL="114300" distR="114300" simplePos="0" relativeHeight="251659776" behindDoc="1" locked="0" layoutInCell="1" allowOverlap="1">
            <wp:simplePos x="0" y="0"/>
            <wp:positionH relativeFrom="column">
              <wp:posOffset>-440055</wp:posOffset>
            </wp:positionH>
            <wp:positionV relativeFrom="paragraph">
              <wp:posOffset>-72390</wp:posOffset>
            </wp:positionV>
            <wp:extent cx="7556500" cy="4297680"/>
            <wp:effectExtent l="0" t="0" r="0" b="7620"/>
            <wp:wrapNone/>
            <wp:docPr id="6" name="图片 6"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Picture1"/>
                    <pic:cNvPicPr>
                      <a:picLocks noChangeAspect="1"/>
                    </pic:cNvPicPr>
                  </pic:nvPicPr>
                  <pic:blipFill>
                    <a:blip r:embed="rId9"/>
                    <a:stretch>
                      <a:fillRect/>
                    </a:stretch>
                  </pic:blipFill>
                  <pic:spPr>
                    <a:xfrm>
                      <a:off x="0" y="0"/>
                      <a:ext cx="7556500" cy="4297680"/>
                    </a:xfrm>
                    <a:prstGeom prst="rect">
                      <a:avLst/>
                    </a:prstGeom>
                  </pic:spPr>
                </pic:pic>
              </a:graphicData>
            </a:graphic>
          </wp:anchor>
        </w:drawing>
      </w:r>
      <w:r>
        <w:rPr>
          <w:rFonts w:ascii="Arial" w:eastAsia="Calibri" w:hAnsi="Arial" w:cs="Arial"/>
          <w:noProof/>
          <w:sz w:val="17"/>
          <w:szCs w:val="17"/>
          <w:lang w:val="en-US"/>
        </w:rPr>
        <w:drawing>
          <wp:anchor distT="0" distB="0" distL="114300" distR="114300" simplePos="0" relativeHeight="251658752" behindDoc="0" locked="0" layoutInCell="1" allowOverlap="1">
            <wp:simplePos x="0" y="0"/>
            <wp:positionH relativeFrom="column">
              <wp:posOffset>6189345</wp:posOffset>
            </wp:positionH>
            <wp:positionV relativeFrom="paragraph">
              <wp:posOffset>561340</wp:posOffset>
            </wp:positionV>
            <wp:extent cx="516890" cy="691515"/>
            <wp:effectExtent l="0" t="0" r="0"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16890" cy="691515"/>
                    </a:xfrm>
                    <a:prstGeom prst="rect">
                      <a:avLst/>
                    </a:prstGeom>
                    <a:noFill/>
                    <a:ln>
                      <a:noFill/>
                    </a:ln>
                  </pic:spPr>
                </pic:pic>
              </a:graphicData>
            </a:graphic>
          </wp:anchor>
        </w:drawing>
      </w:r>
      <w:r>
        <w:rPr>
          <w:rFonts w:ascii="Arial" w:hAnsi="Arial" w:cs="Arial"/>
          <w:b/>
          <w:bCs/>
          <w:color w:val="FFFFFF" w:themeColor="background1"/>
          <w:sz w:val="72"/>
          <w:szCs w:val="72"/>
        </w:rPr>
        <w:t xml:space="preserve"> </w:t>
      </w:r>
    </w:p>
    <w:p w:rsidR="00C544AC" w:rsidRDefault="00AC784A">
      <w:pPr>
        <w:snapToGrid w:val="0"/>
        <w:spacing w:line="312" w:lineRule="auto"/>
        <w:jc w:val="right"/>
        <w:rPr>
          <w:rFonts w:ascii="Arial" w:hAnsi="Arial" w:cs="Arial"/>
          <w:sz w:val="17"/>
          <w:szCs w:val="17"/>
        </w:rPr>
      </w:pPr>
      <w:r>
        <w:rPr>
          <w:rFonts w:ascii="Arial" w:hAnsi="Arial" w:cs="Arial"/>
          <w:noProof/>
          <w:sz w:val="17"/>
          <w:szCs w:val="17"/>
          <w:lang w:val="en-US"/>
        </w:rPr>
        <w:drawing>
          <wp:anchor distT="0" distB="0" distL="114300" distR="114300" simplePos="0" relativeHeight="251660800" behindDoc="0" locked="0" layoutInCell="1" allowOverlap="1">
            <wp:simplePos x="0" y="0"/>
            <wp:positionH relativeFrom="column">
              <wp:posOffset>2316480</wp:posOffset>
            </wp:positionH>
            <wp:positionV relativeFrom="paragraph">
              <wp:posOffset>123190</wp:posOffset>
            </wp:positionV>
            <wp:extent cx="2091933" cy="2570480"/>
            <wp:effectExtent l="0" t="0" r="0"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1.png"/>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2091933" cy="2570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snapToGrid w:val="0"/>
        <w:spacing w:line="312" w:lineRule="auto"/>
        <w:jc w:val="right"/>
        <w:rPr>
          <w:rFonts w:ascii="Arial" w:hAnsi="Arial" w:cs="Arial"/>
          <w:sz w:val="17"/>
          <w:szCs w:val="17"/>
        </w:rPr>
      </w:pPr>
    </w:p>
    <w:p w:rsidR="00C544AC" w:rsidRDefault="00C544AC">
      <w:pPr>
        <w:widowControl/>
        <w:snapToGrid w:val="0"/>
        <w:spacing w:line="312" w:lineRule="auto"/>
        <w:jc w:val="left"/>
        <w:rPr>
          <w:rFonts w:ascii="Arial" w:hAnsi="Arial" w:cs="Arial"/>
          <w:sz w:val="20"/>
          <w:szCs w:val="20"/>
        </w:rPr>
      </w:pPr>
    </w:p>
    <w:p w:rsidR="00C544AC" w:rsidRDefault="00BC5AE8">
      <w:pPr>
        <w:widowControl/>
        <w:snapToGrid w:val="0"/>
        <w:spacing w:line="312" w:lineRule="auto"/>
        <w:jc w:val="left"/>
        <w:rPr>
          <w:rFonts w:ascii="Arial" w:hAnsi="Arial" w:cs="Arial"/>
          <w:color w:val="FFFFFF" w:themeColor="background1"/>
          <w:sz w:val="20"/>
          <w:szCs w:val="20"/>
        </w:rPr>
      </w:pPr>
      <w:r>
        <w:rPr>
          <w:rFonts w:ascii="Arial" w:hAnsi="Arial" w:cs="Arial"/>
          <w:color w:val="FFFFFF" w:themeColor="background1"/>
          <w:sz w:val="20"/>
          <w:szCs w:val="20"/>
        </w:rPr>
        <w:t>Midea will introduce a new generation of heat pumps that operate using R290 refrigerant. Theoretically, R290 is a highly flammable A3 refrigerant, but its risk can be effectively eliminated through product design and various aspects of control. This refrigerant has also been widely used in air conditioners, refrigerators, heat pumps, and other products in recent years. A3 refrigerant handling is therefore neither novel nor unusual. However, some basic precautions must be taken during storage, transportation, installation, maintenance, etc., which will be explained on the following pages.</w:t>
      </w: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pStyle w:val="21"/>
        <w:spacing w:before="156" w:after="156"/>
        <w:sectPr w:rsidR="00C544AC">
          <w:headerReference w:type="default" r:id="rId12"/>
          <w:footerReference w:type="default" r:id="rId13"/>
          <w:pgSz w:w="11906" w:h="16838"/>
          <w:pgMar w:top="720" w:right="720" w:bottom="720" w:left="720" w:header="0" w:footer="427" w:gutter="0"/>
          <w:cols w:space="425"/>
          <w:docGrid w:type="lines" w:linePitch="312"/>
        </w:sectPr>
      </w:pPr>
    </w:p>
    <w:p w:rsidR="00C544AC" w:rsidRDefault="00BC5AE8">
      <w:pPr>
        <w:pStyle w:val="21"/>
        <w:spacing w:before="156" w:after="156"/>
      </w:pPr>
      <w:r>
        <w:t>General information</w:t>
      </w:r>
    </w:p>
    <w:p w:rsidR="00C544AC" w:rsidRDefault="00BC5AE8">
      <w:pPr>
        <w:pStyle w:val="11"/>
        <w:rPr>
          <w:color w:val="1F94D2"/>
        </w:rPr>
      </w:pPr>
      <w:r>
        <w:rPr>
          <w:color w:val="1F94D2"/>
        </w:rPr>
        <w:t>Characteristics of R290 refrigerant</w:t>
      </w:r>
    </w:p>
    <w:p w:rsidR="00C544AC" w:rsidRDefault="00BC5AE8">
      <w:pPr>
        <w:snapToGrid w:val="0"/>
        <w:spacing w:line="312" w:lineRule="auto"/>
        <w:jc w:val="left"/>
        <w:rPr>
          <w:rFonts w:ascii="Arial" w:hAnsi="Arial" w:cs="Arial"/>
          <w:sz w:val="17"/>
          <w:szCs w:val="17"/>
        </w:rPr>
      </w:pPr>
      <w:r>
        <w:rPr>
          <w:rFonts w:ascii="Arial" w:hAnsi="Arial" w:cs="Arial"/>
          <w:b/>
          <w:bCs/>
          <w:sz w:val="17"/>
          <w:szCs w:val="17"/>
        </w:rPr>
        <w:t>Environmental protection:</w:t>
      </w:r>
      <w:r>
        <w:rPr>
          <w:rFonts w:ascii="Arial" w:hAnsi="Arial" w:cs="Arial"/>
          <w:sz w:val="17"/>
          <w:szCs w:val="17"/>
        </w:rPr>
        <w:t xml:space="preserve"> R290 is an environmentally friendly refrigerant with a global warming potential (GWP) of 3 and no ozone depletion potential (ODP).</w:t>
      </w:r>
    </w:p>
    <w:p w:rsidR="00C544AC" w:rsidRDefault="00C544AC">
      <w:pPr>
        <w:snapToGrid w:val="0"/>
        <w:spacing w:line="312" w:lineRule="auto"/>
        <w:jc w:val="left"/>
        <w:rPr>
          <w:rFonts w:ascii="Arial" w:hAnsi="Arial" w:cs="Arial"/>
          <w:sz w:val="17"/>
          <w:szCs w:val="17"/>
        </w:rPr>
      </w:pPr>
    </w:p>
    <w:p w:rsidR="00C544AC" w:rsidRDefault="00BC5AE8">
      <w:pPr>
        <w:snapToGrid w:val="0"/>
        <w:spacing w:line="312" w:lineRule="auto"/>
        <w:jc w:val="left"/>
        <w:rPr>
          <w:rFonts w:ascii="Arial" w:hAnsi="Arial" w:cs="Arial"/>
          <w:sz w:val="17"/>
          <w:szCs w:val="17"/>
        </w:rPr>
      </w:pPr>
      <w:r>
        <w:rPr>
          <w:rFonts w:ascii="Arial" w:hAnsi="Arial" w:cs="Arial"/>
          <w:b/>
          <w:bCs/>
          <w:sz w:val="17"/>
          <w:szCs w:val="17"/>
        </w:rPr>
        <w:t>High efficiency:</w:t>
      </w:r>
      <w:r>
        <w:rPr>
          <w:rFonts w:ascii="Arial" w:hAnsi="Arial" w:cs="Arial"/>
          <w:sz w:val="17"/>
          <w:szCs w:val="17"/>
        </w:rPr>
        <w:t xml:space="preserve"> R290 has good heat transfer properties and provides efficient refrigeration and air conditioning. It features a wide range of applications (up to -40°C).</w:t>
      </w:r>
    </w:p>
    <w:p w:rsidR="00C544AC" w:rsidRDefault="00C544AC">
      <w:pPr>
        <w:snapToGrid w:val="0"/>
        <w:spacing w:line="312" w:lineRule="auto"/>
        <w:jc w:val="left"/>
        <w:rPr>
          <w:rFonts w:ascii="Arial" w:hAnsi="Arial" w:cs="Arial"/>
          <w:b/>
          <w:bCs/>
          <w:sz w:val="17"/>
          <w:szCs w:val="17"/>
        </w:rPr>
      </w:pPr>
    </w:p>
    <w:p w:rsidR="00C544AC" w:rsidRDefault="00BC5AE8">
      <w:pPr>
        <w:snapToGrid w:val="0"/>
        <w:spacing w:line="312" w:lineRule="auto"/>
        <w:jc w:val="left"/>
        <w:rPr>
          <w:rFonts w:ascii="Arial" w:hAnsi="Arial" w:cs="Arial"/>
          <w:sz w:val="17"/>
          <w:szCs w:val="17"/>
        </w:rPr>
      </w:pPr>
      <w:r>
        <w:rPr>
          <w:rFonts w:ascii="Arial" w:hAnsi="Arial" w:cs="Arial"/>
          <w:b/>
          <w:bCs/>
          <w:sz w:val="17"/>
          <w:szCs w:val="17"/>
        </w:rPr>
        <w:t>Safety:</w:t>
      </w:r>
      <w:r>
        <w:rPr>
          <w:rFonts w:ascii="Arial" w:hAnsi="Arial" w:cs="Arial"/>
          <w:sz w:val="17"/>
          <w:szCs w:val="17"/>
        </w:rPr>
        <w:t xml:space="preserve"> R290 refrigerant (propane) is a </w:t>
      </w:r>
      <w:proofErr w:type="spellStart"/>
      <w:r>
        <w:rPr>
          <w:rFonts w:ascii="Arial" w:hAnsi="Arial" w:cs="Arial"/>
          <w:sz w:val="17"/>
          <w:szCs w:val="17"/>
        </w:rPr>
        <w:t>colorless</w:t>
      </w:r>
      <w:proofErr w:type="spellEnd"/>
      <w:r>
        <w:rPr>
          <w:rFonts w:ascii="Arial" w:hAnsi="Arial" w:cs="Arial"/>
          <w:sz w:val="17"/>
          <w:szCs w:val="17"/>
        </w:rPr>
        <w:t xml:space="preserve">, </w:t>
      </w:r>
      <w:proofErr w:type="spellStart"/>
      <w:r>
        <w:rPr>
          <w:rFonts w:ascii="Arial" w:hAnsi="Arial" w:cs="Arial"/>
          <w:sz w:val="17"/>
          <w:szCs w:val="17"/>
        </w:rPr>
        <w:t>odorless</w:t>
      </w:r>
      <w:proofErr w:type="spellEnd"/>
      <w:r>
        <w:rPr>
          <w:rFonts w:ascii="Arial" w:hAnsi="Arial" w:cs="Arial"/>
          <w:sz w:val="17"/>
          <w:szCs w:val="17"/>
        </w:rPr>
        <w:t xml:space="preserve"> gas used in refrigeration and air conditioning equipment. It is non-toxic and highly flammable when mixed with air at a concentration of 0.021 to 0.095. R290 is heavier than air at the same temperature and pressure and often reaches higher concentrations near the ground. The gas has no </w:t>
      </w:r>
      <w:proofErr w:type="spellStart"/>
      <w:r>
        <w:rPr>
          <w:rFonts w:ascii="Arial" w:hAnsi="Arial" w:cs="Arial"/>
          <w:sz w:val="17"/>
          <w:szCs w:val="17"/>
        </w:rPr>
        <w:t>odor</w:t>
      </w:r>
      <w:proofErr w:type="spellEnd"/>
      <w:r>
        <w:rPr>
          <w:rFonts w:ascii="Arial" w:hAnsi="Arial" w:cs="Arial"/>
          <w:sz w:val="17"/>
          <w:szCs w:val="17"/>
        </w:rPr>
        <w:t>, but it can be easily detected by commercially available gas detectors and leak detection devices, and its risk can be eliminated through effective preventative measures.</w:t>
      </w: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C544AC">
      <w:pPr>
        <w:snapToGrid w:val="0"/>
        <w:spacing w:line="312" w:lineRule="auto"/>
        <w:jc w:val="left"/>
        <w:rPr>
          <w:rFonts w:ascii="Arial" w:hAnsi="Arial" w:cs="Arial"/>
          <w:sz w:val="17"/>
          <w:szCs w:val="17"/>
        </w:rPr>
      </w:pPr>
    </w:p>
    <w:p w:rsidR="00C544AC" w:rsidRDefault="00BC5AE8">
      <w:pPr>
        <w:pStyle w:val="11"/>
        <w:rPr>
          <w:color w:val="1F94D2"/>
        </w:rPr>
      </w:pPr>
      <w:bookmarkStart w:id="0" w:name="OLE_LINK6"/>
      <w:r>
        <w:rPr>
          <w:color w:val="1F94D2"/>
        </w:rPr>
        <w:t>Basic information on R290 heat pumps</w:t>
      </w:r>
    </w:p>
    <w:bookmarkEnd w:id="0"/>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 xml:space="preserve">The new generation of R290 heat pumps now adopts a monolithic structure design. This means that the refrigeration circuit of the unit is hermetically sealed, the refrigeration circuit is completely inside the heating system, and it is fully charged with R290 refrigerant when delivered. The refrigerant charging amount for a single heat pump is </w:t>
      </w:r>
      <w:r w:rsidR="00AC784A">
        <w:rPr>
          <w:rFonts w:ascii="Arial" w:hAnsi="Arial" w:cs="Arial" w:hint="eastAsia"/>
          <w:sz w:val="17"/>
          <w:szCs w:val="17"/>
        </w:rPr>
        <w:t>290</w:t>
      </w:r>
      <w:r>
        <w:rPr>
          <w:rFonts w:ascii="Arial" w:hAnsi="Arial" w:cs="Arial"/>
          <w:sz w:val="17"/>
          <w:szCs w:val="17"/>
        </w:rPr>
        <w:t xml:space="preserve">0 g. More details can be found on </w:t>
      </w:r>
      <w:proofErr w:type="spellStart"/>
      <w:r>
        <w:rPr>
          <w:rFonts w:ascii="Arial" w:hAnsi="Arial" w:cs="Arial"/>
          <w:sz w:val="17"/>
          <w:szCs w:val="17"/>
        </w:rPr>
        <w:t>Midea's</w:t>
      </w:r>
      <w:proofErr w:type="spellEnd"/>
      <w:r>
        <w:rPr>
          <w:rFonts w:ascii="Arial" w:hAnsi="Arial" w:cs="Arial"/>
          <w:sz w:val="17"/>
          <w:szCs w:val="17"/>
        </w:rPr>
        <w:t xml:space="preserve"> official website.</w:t>
      </w:r>
    </w:p>
    <w:p w:rsidR="00C544AC" w:rsidRPr="00DC0CC5" w:rsidRDefault="00C544AC">
      <w:pPr>
        <w:widowControl/>
        <w:snapToGrid w:val="0"/>
        <w:spacing w:line="312" w:lineRule="auto"/>
        <w:jc w:val="left"/>
        <w:rPr>
          <w:rFonts w:ascii="Arial" w:hAnsi="Arial" w:cs="Arial"/>
          <w:sz w:val="17"/>
          <w:szCs w:val="17"/>
        </w:rPr>
      </w:pPr>
    </w:p>
    <w:p w:rsidR="00C544AC" w:rsidRDefault="00BC5AE8">
      <w:pPr>
        <w:pStyle w:val="11"/>
        <w:rPr>
          <w:color w:val="1F94D2"/>
        </w:rPr>
      </w:pPr>
      <w:r>
        <w:rPr>
          <w:color w:val="1F94D2"/>
        </w:rPr>
        <w:t>Explanation of common symbols on the heat pump</w:t>
      </w:r>
    </w:p>
    <w:tbl>
      <w:tblPr>
        <w:tblStyle w:val="ae"/>
        <w:tblW w:w="4957" w:type="dxa"/>
        <w:tblBorders>
          <w:left w:val="none" w:sz="0" w:space="0" w:color="auto"/>
          <w:right w:val="none" w:sz="0" w:space="0" w:color="auto"/>
        </w:tblBorders>
        <w:tblLayout w:type="fixed"/>
        <w:tblCellMar>
          <w:top w:w="57" w:type="dxa"/>
          <w:left w:w="57" w:type="dxa"/>
          <w:bottom w:w="57" w:type="dxa"/>
          <w:right w:w="57" w:type="dxa"/>
        </w:tblCellMar>
        <w:tblLook w:val="04A0" w:firstRow="1" w:lastRow="0" w:firstColumn="1" w:lastColumn="0" w:noHBand="0" w:noVBand="1"/>
      </w:tblPr>
      <w:tblGrid>
        <w:gridCol w:w="846"/>
        <w:gridCol w:w="992"/>
        <w:gridCol w:w="3119"/>
      </w:tblGrid>
      <w:tr w:rsidR="00C544AC">
        <w:trPr>
          <w:trHeight w:val="20"/>
        </w:trPr>
        <w:tc>
          <w:tcPr>
            <w:tcW w:w="846" w:type="dxa"/>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458470" cy="574675"/>
                  <wp:effectExtent l="0" t="0" r="11430" b="952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458470" cy="574675"/>
                          </a:xfrm>
                          <a:prstGeom prst="rect">
                            <a:avLst/>
                          </a:prstGeom>
                        </pic:spPr>
                      </pic:pic>
                    </a:graphicData>
                  </a:graphic>
                </wp:inline>
              </w:drawing>
            </w:r>
          </w:p>
        </w:tc>
        <w:tc>
          <w:tcPr>
            <w:tcW w:w="992" w:type="dxa"/>
            <w:vAlign w:val="center"/>
          </w:tcPr>
          <w:p w:rsidR="00C544AC" w:rsidRDefault="00BC5AE8">
            <w:pPr>
              <w:widowControl/>
              <w:snapToGrid w:val="0"/>
              <w:rPr>
                <w:rFonts w:ascii="Arial" w:hAnsi="Arial" w:cs="Arial"/>
                <w:sz w:val="17"/>
                <w:szCs w:val="17"/>
              </w:rPr>
            </w:pPr>
            <w:r>
              <w:rPr>
                <w:rFonts w:ascii="Arial" w:hAnsi="Arial" w:cs="Arial"/>
                <w:sz w:val="17"/>
                <w:szCs w:val="17"/>
              </w:rPr>
              <w:t>WARNING</w:t>
            </w:r>
          </w:p>
        </w:tc>
        <w:tc>
          <w:tcPr>
            <w:tcW w:w="3119" w:type="dxa"/>
            <w:vAlign w:val="center"/>
          </w:tcPr>
          <w:p w:rsidR="00C544AC" w:rsidRDefault="00BC5AE8">
            <w:pPr>
              <w:widowControl/>
              <w:snapToGrid w:val="0"/>
              <w:jc w:val="left"/>
              <w:rPr>
                <w:rFonts w:ascii="Arial" w:hAnsi="Arial" w:cs="Arial"/>
                <w:sz w:val="17"/>
                <w:szCs w:val="17"/>
              </w:rPr>
            </w:pPr>
            <w:bookmarkStart w:id="1" w:name="OLE_LINK2"/>
            <w:r>
              <w:rPr>
                <w:rFonts w:ascii="Arial" w:hAnsi="Arial" w:cs="Arial"/>
                <w:sz w:val="17"/>
                <w:szCs w:val="17"/>
              </w:rPr>
              <w:t>This symbol shows that this appliance used a flammable refrigerant. If the refrigerant is leaked and exposed to an external ignition source, there is a risk of fire.</w:t>
            </w:r>
            <w:bookmarkEnd w:id="1"/>
          </w:p>
        </w:tc>
      </w:tr>
      <w:tr w:rsidR="00C544AC">
        <w:trPr>
          <w:trHeight w:val="20"/>
        </w:trPr>
        <w:tc>
          <w:tcPr>
            <w:tcW w:w="846"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395605" cy="377190"/>
                  <wp:effectExtent l="0" t="0" r="4445" b="381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5"/>
                          <a:stretch>
                            <a:fillRect/>
                          </a:stretch>
                        </pic:blipFill>
                        <pic:spPr>
                          <a:xfrm>
                            <a:off x="0" y="0"/>
                            <a:ext cx="396000" cy="377632"/>
                          </a:xfrm>
                          <a:prstGeom prst="rect">
                            <a:avLst/>
                          </a:prstGeom>
                        </pic:spPr>
                      </pic:pic>
                    </a:graphicData>
                  </a:graphic>
                </wp:inline>
              </w:drawing>
            </w:r>
          </w:p>
        </w:tc>
        <w:tc>
          <w:tcPr>
            <w:tcW w:w="992"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sz w:val="17"/>
                <w:szCs w:val="17"/>
              </w:rPr>
              <w:t>CAUTION</w:t>
            </w:r>
          </w:p>
        </w:tc>
        <w:tc>
          <w:tcPr>
            <w:tcW w:w="3119" w:type="dxa"/>
            <w:shd w:val="clear" w:color="auto" w:fill="F2F2F2" w:themeFill="background1" w:themeFillShade="F2"/>
            <w:vAlign w:val="center"/>
          </w:tcPr>
          <w:p w:rsidR="00C544AC" w:rsidRDefault="00BC5AE8">
            <w:pPr>
              <w:widowControl/>
              <w:snapToGrid w:val="0"/>
              <w:jc w:val="left"/>
              <w:rPr>
                <w:rFonts w:ascii="Arial" w:eastAsia="Calibri" w:hAnsi="Arial" w:cs="Arial"/>
                <w:sz w:val="17"/>
                <w:szCs w:val="17"/>
              </w:rPr>
            </w:pPr>
            <w:r>
              <w:rPr>
                <w:rFonts w:ascii="Arial" w:hAnsi="Arial" w:cs="Arial"/>
                <w:sz w:val="17"/>
                <w:szCs w:val="17"/>
              </w:rPr>
              <w:t>No open flame</w:t>
            </w:r>
            <w:r w:rsidR="000308BA">
              <w:rPr>
                <w:rFonts w:ascii="Arial" w:hAnsi="Arial" w:cs="Arial"/>
                <w:sz w:val="17"/>
                <w:szCs w:val="17"/>
              </w:rPr>
              <w:t>.</w:t>
            </w:r>
            <w:r>
              <w:rPr>
                <w:rFonts w:ascii="Arial" w:hAnsi="Arial" w:cs="Arial"/>
                <w:sz w:val="17"/>
                <w:szCs w:val="17"/>
              </w:rPr>
              <w:t xml:space="preserve"> Fire, open ignition sources, and smoking are prohibited.</w:t>
            </w:r>
          </w:p>
        </w:tc>
      </w:tr>
      <w:tr w:rsidR="00C544AC">
        <w:trPr>
          <w:trHeight w:val="20"/>
        </w:trPr>
        <w:tc>
          <w:tcPr>
            <w:tcW w:w="846" w:type="dxa"/>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395605" cy="186055"/>
                  <wp:effectExtent l="0" t="0" r="4445" b="4445"/>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6"/>
                          <a:stretch>
                            <a:fillRect/>
                          </a:stretch>
                        </pic:blipFill>
                        <pic:spPr>
                          <a:xfrm>
                            <a:off x="0" y="0"/>
                            <a:ext cx="396000" cy="186150"/>
                          </a:xfrm>
                          <a:prstGeom prst="rect">
                            <a:avLst/>
                          </a:prstGeom>
                          <a:noFill/>
                          <a:ln>
                            <a:noFill/>
                          </a:ln>
                        </pic:spPr>
                      </pic:pic>
                    </a:graphicData>
                  </a:graphic>
                </wp:inline>
              </w:drawing>
            </w:r>
          </w:p>
        </w:tc>
        <w:tc>
          <w:tcPr>
            <w:tcW w:w="992" w:type="dxa"/>
            <w:vAlign w:val="center"/>
          </w:tcPr>
          <w:p w:rsidR="00C544AC" w:rsidRDefault="00BC5AE8">
            <w:pPr>
              <w:widowControl/>
              <w:snapToGrid w:val="0"/>
              <w:rPr>
                <w:rFonts w:ascii="Arial" w:hAnsi="Arial" w:cs="Arial"/>
                <w:sz w:val="17"/>
                <w:szCs w:val="17"/>
              </w:rPr>
            </w:pPr>
            <w:r>
              <w:rPr>
                <w:rFonts w:ascii="Arial" w:hAnsi="Arial" w:cs="Arial"/>
                <w:sz w:val="17"/>
                <w:szCs w:val="17"/>
              </w:rPr>
              <w:t>CAUTION</w:t>
            </w:r>
          </w:p>
        </w:tc>
        <w:tc>
          <w:tcPr>
            <w:tcW w:w="3119" w:type="dxa"/>
            <w:vAlign w:val="center"/>
          </w:tcPr>
          <w:p w:rsidR="00C544AC" w:rsidRDefault="00BC5AE8">
            <w:pPr>
              <w:widowControl/>
              <w:snapToGrid w:val="0"/>
              <w:jc w:val="left"/>
              <w:rPr>
                <w:rFonts w:ascii="Arial" w:hAnsi="Arial" w:cs="Arial"/>
                <w:sz w:val="17"/>
                <w:szCs w:val="17"/>
              </w:rPr>
            </w:pPr>
            <w:r>
              <w:rPr>
                <w:rFonts w:ascii="Arial" w:hAnsi="Arial" w:cs="Arial"/>
                <w:sz w:val="17"/>
                <w:szCs w:val="17"/>
              </w:rPr>
              <w:t>This symbol shows that service personnel should be handling this equipment with reference to the installation manual.</w:t>
            </w:r>
          </w:p>
        </w:tc>
      </w:tr>
      <w:tr w:rsidR="00C544AC">
        <w:trPr>
          <w:trHeight w:val="20"/>
        </w:trPr>
        <w:tc>
          <w:tcPr>
            <w:tcW w:w="846"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395605" cy="232410"/>
                  <wp:effectExtent l="0" t="0" r="4445"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7"/>
                          <a:stretch>
                            <a:fillRect/>
                          </a:stretch>
                        </pic:blipFill>
                        <pic:spPr>
                          <a:xfrm>
                            <a:off x="0" y="0"/>
                            <a:ext cx="396000" cy="232435"/>
                          </a:xfrm>
                          <a:prstGeom prst="rect">
                            <a:avLst/>
                          </a:prstGeom>
                          <a:noFill/>
                          <a:ln>
                            <a:noFill/>
                          </a:ln>
                        </pic:spPr>
                      </pic:pic>
                    </a:graphicData>
                  </a:graphic>
                </wp:inline>
              </w:drawing>
            </w:r>
          </w:p>
        </w:tc>
        <w:tc>
          <w:tcPr>
            <w:tcW w:w="992"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sz w:val="17"/>
                <w:szCs w:val="17"/>
              </w:rPr>
              <w:t>CAUTION</w:t>
            </w:r>
          </w:p>
        </w:tc>
        <w:tc>
          <w:tcPr>
            <w:tcW w:w="3119" w:type="dxa"/>
            <w:shd w:val="clear" w:color="auto" w:fill="F2F2F2" w:themeFill="background1" w:themeFillShade="F2"/>
            <w:vAlign w:val="center"/>
          </w:tcPr>
          <w:p w:rsidR="00C544AC" w:rsidRDefault="00BC5AE8">
            <w:pPr>
              <w:widowControl/>
              <w:snapToGrid w:val="0"/>
              <w:jc w:val="left"/>
              <w:rPr>
                <w:rFonts w:ascii="Arial" w:hAnsi="Arial" w:cs="Arial"/>
                <w:sz w:val="17"/>
                <w:szCs w:val="17"/>
              </w:rPr>
            </w:pPr>
            <w:r>
              <w:rPr>
                <w:rFonts w:ascii="Arial" w:hAnsi="Arial" w:cs="Arial"/>
                <w:sz w:val="17"/>
                <w:szCs w:val="17"/>
              </w:rPr>
              <w:t>This symbol shows that information is available, such as the operating manual or installation manual.</w:t>
            </w:r>
          </w:p>
        </w:tc>
      </w:tr>
    </w:tbl>
    <w:p w:rsidR="00C544AC" w:rsidRDefault="00C544AC">
      <w:pPr>
        <w:snapToGrid w:val="0"/>
        <w:spacing w:line="312" w:lineRule="auto"/>
        <w:jc w:val="left"/>
        <w:rPr>
          <w:rFonts w:ascii="Arial" w:hAnsi="Arial" w:cs="Arial"/>
          <w:b/>
          <w:bCs/>
          <w:color w:val="0000FF"/>
          <w:sz w:val="17"/>
          <w:szCs w:val="17"/>
        </w:rPr>
      </w:pPr>
    </w:p>
    <w:p w:rsidR="00C544AC" w:rsidRDefault="00C544AC">
      <w:pPr>
        <w:snapToGrid w:val="0"/>
        <w:spacing w:line="312" w:lineRule="auto"/>
        <w:jc w:val="left"/>
        <w:rPr>
          <w:rFonts w:ascii="Arial" w:hAnsi="Arial" w:cs="Arial"/>
          <w:b/>
          <w:bCs/>
          <w:color w:val="0000FF"/>
          <w:sz w:val="17"/>
          <w:szCs w:val="17"/>
        </w:rPr>
      </w:pPr>
    </w:p>
    <w:p w:rsidR="00C544AC" w:rsidRDefault="00C544AC">
      <w:pPr>
        <w:snapToGrid w:val="0"/>
        <w:spacing w:line="312" w:lineRule="auto"/>
        <w:jc w:val="left"/>
        <w:rPr>
          <w:rFonts w:ascii="Arial" w:hAnsi="Arial" w:cs="Arial"/>
          <w:b/>
          <w:bCs/>
          <w:color w:val="0000FF"/>
          <w:sz w:val="17"/>
          <w:szCs w:val="17"/>
        </w:rPr>
      </w:pPr>
    </w:p>
    <w:p w:rsidR="00C544AC" w:rsidRDefault="00C544AC">
      <w:pPr>
        <w:snapToGrid w:val="0"/>
        <w:spacing w:line="312" w:lineRule="auto"/>
        <w:jc w:val="left"/>
        <w:rPr>
          <w:rFonts w:ascii="Arial" w:hAnsi="Arial" w:cs="Arial"/>
          <w:b/>
          <w:bCs/>
          <w:color w:val="0000FF"/>
          <w:sz w:val="17"/>
          <w:szCs w:val="17"/>
        </w:rPr>
      </w:pPr>
    </w:p>
    <w:p w:rsidR="00C544AC" w:rsidRDefault="00C544AC">
      <w:pPr>
        <w:snapToGrid w:val="0"/>
        <w:spacing w:line="312" w:lineRule="auto"/>
        <w:jc w:val="left"/>
        <w:rPr>
          <w:rFonts w:ascii="Arial" w:hAnsi="Arial" w:cs="Arial"/>
          <w:b/>
          <w:bCs/>
          <w:color w:val="0000FF"/>
          <w:sz w:val="17"/>
          <w:szCs w:val="17"/>
        </w:rPr>
      </w:pPr>
    </w:p>
    <w:p w:rsidR="00C544AC" w:rsidRDefault="00BC5AE8">
      <w:pPr>
        <w:pStyle w:val="21"/>
        <w:spacing w:before="156" w:after="156"/>
      </w:pPr>
      <w:r>
        <w:lastRenderedPageBreak/>
        <w:t>Transportation precautions</w:t>
      </w:r>
    </w:p>
    <w:p w:rsidR="00C544AC" w:rsidRDefault="00BC5AE8">
      <w:pPr>
        <w:pStyle w:val="11"/>
        <w:rPr>
          <w:color w:val="1F94D2"/>
        </w:rPr>
      </w:pPr>
      <w:r>
        <w:rPr>
          <w:color w:val="1F94D2"/>
        </w:rPr>
        <w:t xml:space="preserve">Transportation regulations: ADR, IMDG, </w:t>
      </w:r>
      <w:bookmarkStart w:id="2" w:name="OLE_LINK1"/>
      <w:r>
        <w:rPr>
          <w:color w:val="1F94D2"/>
        </w:rPr>
        <w:t>IATA</w:t>
      </w:r>
      <w:bookmarkEnd w:id="2"/>
    </w:p>
    <w:p w:rsidR="00C544AC" w:rsidRDefault="00BC5AE8">
      <w:pPr>
        <w:widowControl/>
        <w:snapToGrid w:val="0"/>
        <w:spacing w:line="312" w:lineRule="auto"/>
        <w:jc w:val="left"/>
        <w:rPr>
          <w:rFonts w:ascii="Arial" w:hAnsi="Arial" w:cs="Arial"/>
          <w:sz w:val="17"/>
          <w:szCs w:val="17"/>
        </w:rPr>
      </w:pPr>
      <w:bookmarkStart w:id="3" w:name="OLE_LINK7"/>
      <w:r>
        <w:rPr>
          <w:rFonts w:ascii="Arial" w:hAnsi="Arial" w:cs="Arial"/>
          <w:sz w:val="17"/>
          <w:szCs w:val="17"/>
        </w:rPr>
        <w:t>ADR regulations: Equipment containing less than 12 kg of flammable refrigerant is not subject to transportation regulations if it is designed with protection (i.e., it meets the appropriate safety standards). If the refrigerant amount exceeds 12 kg, the equipment is subject to the regulations for any containers for flammable gases.</w:t>
      </w:r>
    </w:p>
    <w:bookmarkEnd w:id="3"/>
    <w:p w:rsidR="00C544AC" w:rsidRDefault="00C544AC">
      <w:pPr>
        <w:widowControl/>
        <w:snapToGrid w:val="0"/>
        <w:spacing w:line="312" w:lineRule="auto"/>
        <w:jc w:val="left"/>
        <w:rPr>
          <w:rFonts w:ascii="Arial" w:hAnsi="Arial" w:cs="Arial"/>
          <w:sz w:val="17"/>
          <w:szCs w:val="17"/>
        </w:rPr>
      </w:pPr>
    </w:p>
    <w:p w:rsidR="00C544AC" w:rsidRDefault="00BC5AE8">
      <w:pPr>
        <w:widowControl/>
        <w:snapToGrid w:val="0"/>
        <w:spacing w:line="312" w:lineRule="auto"/>
        <w:jc w:val="left"/>
        <w:rPr>
          <w:rFonts w:ascii="Arial" w:hAnsi="Arial" w:cs="Arial"/>
          <w:sz w:val="17"/>
          <w:szCs w:val="17"/>
        </w:rPr>
      </w:pPr>
      <w:bookmarkStart w:id="4" w:name="OLE_LINK8"/>
      <w:r>
        <w:rPr>
          <w:rFonts w:ascii="Arial" w:hAnsi="Arial" w:cs="Arial"/>
          <w:sz w:val="17"/>
          <w:szCs w:val="17"/>
        </w:rPr>
        <w:t xml:space="preserve">IMDG regulations: </w:t>
      </w:r>
      <w:bookmarkEnd w:id="4"/>
      <w:r>
        <w:rPr>
          <w:rFonts w:ascii="Arial" w:hAnsi="Arial" w:cs="Arial" w:hint="eastAsia"/>
          <w:sz w:val="17"/>
          <w:szCs w:val="17"/>
        </w:rPr>
        <w:t>R290 is classified as a flammable gas and defined as 2.1 class: it does not produce obvious flames or explosions during combustion, but produces heat and gas within its flammable range. The explosion limit of this gas is relatively high, and once exceeded, it can cause dangerous explosions. It is required that the shipper provides the corresponding MSDS for the product, which stands for Material Safety Data Sheet. The maximum filling quantity for flammable refrigerants is limited to 12 kg.</w:t>
      </w:r>
    </w:p>
    <w:p w:rsidR="00C544AC" w:rsidRDefault="00C544AC">
      <w:pPr>
        <w:widowControl/>
        <w:snapToGrid w:val="0"/>
        <w:spacing w:line="312" w:lineRule="auto"/>
        <w:jc w:val="left"/>
        <w:rPr>
          <w:rFonts w:ascii="Arial" w:hAnsi="Arial" w:cs="Arial"/>
          <w:sz w:val="17"/>
          <w:szCs w:val="17"/>
        </w:rPr>
      </w:pPr>
    </w:p>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IATA regulations: These regulations prohibit the transportation of equipment charged with more than 0.1 kg of combustible refrigerant by a passenger plane or cargo aircraft. If air transportation is required, up to 150 kg of flammable refrigerant can be carried in cylinders, so that the system can be charged on site.</w:t>
      </w:r>
    </w:p>
    <w:p w:rsidR="00C544AC" w:rsidRDefault="00C544AC">
      <w:pPr>
        <w:pStyle w:val="11"/>
        <w:rPr>
          <w:color w:val="1F94D2"/>
        </w:rPr>
      </w:pPr>
    </w:p>
    <w:p w:rsidR="00C544AC" w:rsidRDefault="00BC5AE8">
      <w:pPr>
        <w:pStyle w:val="11"/>
        <w:rPr>
          <w:color w:val="1F94D2"/>
        </w:rPr>
      </w:pPr>
      <w:bookmarkStart w:id="5" w:name="OLE_LINK12"/>
      <w:r>
        <w:rPr>
          <w:color w:val="1F94D2"/>
        </w:rPr>
        <w:t>Basic requirements for transportation</w:t>
      </w:r>
    </w:p>
    <w:p w:rsidR="00C544AC" w:rsidRDefault="00BC5AE8">
      <w:pPr>
        <w:widowControl/>
        <w:snapToGrid w:val="0"/>
        <w:spacing w:line="312" w:lineRule="auto"/>
        <w:ind w:left="284" w:hangingChars="167" w:hanging="284"/>
        <w:jc w:val="left"/>
        <w:rPr>
          <w:rFonts w:ascii="Arial" w:hAnsi="Arial" w:cs="Arial"/>
          <w:sz w:val="17"/>
          <w:szCs w:val="17"/>
        </w:rPr>
      </w:pPr>
      <w:bookmarkStart w:id="6" w:name="OLE_LINK9"/>
      <w:r>
        <w:rPr>
          <w:rFonts w:ascii="Arial" w:hAnsi="Arial" w:cs="Arial"/>
          <w:sz w:val="17"/>
          <w:szCs w:val="17"/>
        </w:rPr>
        <w:t>1.</w:t>
      </w:r>
      <w:bookmarkStart w:id="7" w:name="_Hlk143850759"/>
      <w:r>
        <w:rPr>
          <w:rFonts w:ascii="Arial" w:hAnsi="Arial" w:cs="Arial"/>
          <w:sz w:val="17"/>
          <w:szCs w:val="17"/>
        </w:rPr>
        <w:tab/>
        <w:t>For finished machines, the carrier vehicle cannot be fully enclosed during transportation.</w:t>
      </w:r>
      <w:bookmarkEnd w:id="7"/>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2.</w:t>
      </w:r>
      <w:r>
        <w:rPr>
          <w:rFonts w:ascii="Arial" w:hAnsi="Arial" w:cs="Arial"/>
          <w:sz w:val="17"/>
          <w:szCs w:val="17"/>
        </w:rPr>
        <w:tab/>
        <w:t>Red-and-white reflective strips should be pasted at the sides and rear of the carrier vehicle to alert other vehicles to keep a safe distance. The vehicle should not get close to the high-temperature area during transportation. Take heat dissipation measures when the temperature inside the compartment is too high.</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3.</w:t>
      </w:r>
      <w:r>
        <w:rPr>
          <w:rFonts w:ascii="Arial" w:hAnsi="Arial" w:cs="Arial"/>
          <w:sz w:val="17"/>
          <w:szCs w:val="17"/>
        </w:rPr>
        <w:tab/>
        <w:t>Refrigerants and products to be repaired are not allowed to be transported in the open air, and the compartment should be equipped with an anti-static device.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4.</w:t>
      </w:r>
      <w:r>
        <w:rPr>
          <w:rFonts w:ascii="Arial" w:hAnsi="Arial" w:cs="Arial"/>
          <w:sz w:val="17"/>
          <w:szCs w:val="17"/>
        </w:rPr>
        <w:tab/>
        <w:t>A combustible agent leakage alarm device, an anti-static device, and a fire extinguishing device should be equipped.</w:t>
      </w:r>
    </w:p>
    <w:bookmarkEnd w:id="5"/>
    <w:bookmarkEnd w:id="6"/>
    <w:p w:rsidR="00C544AC" w:rsidRDefault="00C544AC">
      <w:pPr>
        <w:widowControl/>
        <w:snapToGrid w:val="0"/>
        <w:spacing w:line="312" w:lineRule="auto"/>
        <w:jc w:val="left"/>
        <w:rPr>
          <w:rFonts w:ascii="Arial" w:eastAsia="Calibri" w:hAnsi="Arial" w:cs="Arial"/>
          <w:sz w:val="17"/>
          <w:szCs w:val="17"/>
        </w:rPr>
      </w:pPr>
    </w:p>
    <w:p w:rsidR="00C544AC" w:rsidRDefault="00BC5AE8">
      <w:pPr>
        <w:pStyle w:val="21"/>
        <w:spacing w:before="156" w:after="156"/>
      </w:pPr>
      <w:r>
        <w:t>Storage precautions</w:t>
      </w:r>
    </w:p>
    <w:p w:rsidR="00C544AC" w:rsidRDefault="00BC5AE8">
      <w:pPr>
        <w:pStyle w:val="11"/>
        <w:rPr>
          <w:color w:val="1F94D2"/>
        </w:rPr>
      </w:pPr>
      <w:r>
        <w:rPr>
          <w:color w:val="1F94D2"/>
        </w:rPr>
        <w:t>Basic requirements for warehouse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1.</w:t>
      </w:r>
      <w:r>
        <w:rPr>
          <w:rFonts w:ascii="Arial" w:hAnsi="Arial" w:cs="Arial"/>
          <w:sz w:val="17"/>
          <w:szCs w:val="17"/>
        </w:rPr>
        <w:tab/>
        <w:t xml:space="preserve">The warehouse should be equipped with ventilation equipment. Before entering the warehouse, the personnel should first turn on the </w:t>
      </w:r>
      <w:r>
        <w:rPr>
          <w:rFonts w:ascii="Arial" w:hAnsi="Arial" w:cs="Arial" w:hint="eastAsia"/>
          <w:sz w:val="17"/>
          <w:szCs w:val="17"/>
        </w:rPr>
        <w:t>ventilation</w:t>
      </w:r>
      <w:r>
        <w:rPr>
          <w:rFonts w:ascii="Arial" w:hAnsi="Arial" w:cs="Arial"/>
          <w:sz w:val="17"/>
          <w:szCs w:val="17"/>
        </w:rPr>
        <w:t xml:space="preserve"> equipment. Explosion-proof ventilation equipment and electrical appliances should be used in the warehouse. When conditions do not permit, at least explosion-proof exhaust fans should be used. All electrical appliances should be installed at a height of over 1.5 meters.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2.</w:t>
      </w:r>
      <w:r>
        <w:rPr>
          <w:rFonts w:ascii="Arial" w:hAnsi="Arial" w:cs="Arial"/>
          <w:sz w:val="17"/>
          <w:szCs w:val="17"/>
        </w:rPr>
        <w:tab/>
        <w:t>The warehouse should be illuminated, spacious, open, well-ventilated, equipped with ventilation equipment, and located in a place without heat sources</w:t>
      </w:r>
      <w:bookmarkStart w:id="8" w:name="OLE_LINK5"/>
      <w:bookmarkStart w:id="9" w:name="OLE_LINK4"/>
      <w:r>
        <w:rPr>
          <w:rFonts w:ascii="Arial" w:hAnsi="Arial" w:cs="Arial"/>
          <w:sz w:val="17"/>
          <w:szCs w:val="17"/>
        </w:rPr>
        <w:t>.</w:t>
      </w:r>
      <w:bookmarkEnd w:id="8"/>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3.</w:t>
      </w:r>
      <w:r>
        <w:rPr>
          <w:rFonts w:ascii="Arial" w:hAnsi="Arial" w:cs="Arial"/>
          <w:sz w:val="17"/>
          <w:szCs w:val="17"/>
        </w:rPr>
        <w:tab/>
        <w:t>When a refrigerant leak is detected, the ventilation equipment must be turned on immediately.</w:t>
      </w:r>
    </w:p>
    <w:p w:rsidR="00C544AC" w:rsidRDefault="00C544AC">
      <w:pPr>
        <w:widowControl/>
        <w:snapToGrid w:val="0"/>
        <w:spacing w:line="312" w:lineRule="auto"/>
        <w:jc w:val="left"/>
        <w:rPr>
          <w:rFonts w:ascii="Arial" w:hAnsi="Arial" w:cs="Arial"/>
          <w:sz w:val="17"/>
          <w:szCs w:val="17"/>
        </w:rPr>
      </w:pPr>
    </w:p>
    <w:p w:rsidR="00C544AC" w:rsidRDefault="00BC5AE8">
      <w:pPr>
        <w:pStyle w:val="11"/>
        <w:rPr>
          <w:color w:val="1F94D2"/>
        </w:rPr>
      </w:pPr>
      <w:r>
        <w:rPr>
          <w:color w:val="1F94D2"/>
        </w:rPr>
        <w:t>Warehouse management requirements</w:t>
      </w:r>
    </w:p>
    <w:tbl>
      <w:tblPr>
        <w:tblStyle w:val="ae"/>
        <w:tblW w:w="0" w:type="auto"/>
        <w:tblBorders>
          <w:left w:val="none" w:sz="0" w:space="0" w:color="auto"/>
          <w:right w:val="none" w:sz="0" w:space="0" w:color="auto"/>
        </w:tblBorders>
        <w:tblCellMar>
          <w:top w:w="57" w:type="dxa"/>
          <w:left w:w="57" w:type="dxa"/>
          <w:bottom w:w="57" w:type="dxa"/>
          <w:right w:w="57" w:type="dxa"/>
        </w:tblCellMar>
        <w:tblLook w:val="04A0" w:firstRow="1" w:lastRow="0" w:firstColumn="1" w:lastColumn="0" w:noHBand="0" w:noVBand="1"/>
      </w:tblPr>
      <w:tblGrid>
        <w:gridCol w:w="993"/>
        <w:gridCol w:w="3983"/>
      </w:tblGrid>
      <w:tr w:rsidR="00C544AC">
        <w:trPr>
          <w:trHeight w:val="20"/>
        </w:trPr>
        <w:tc>
          <w:tcPr>
            <w:tcW w:w="993" w:type="dxa"/>
            <w:vAlign w:val="center"/>
          </w:tcPr>
          <w:bookmarkEnd w:id="9"/>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476885" cy="395605"/>
                  <wp:effectExtent l="0" t="0" r="0" b="444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8"/>
                          <a:stretch>
                            <a:fillRect/>
                          </a:stretch>
                        </pic:blipFill>
                        <pic:spPr>
                          <a:xfrm>
                            <a:off x="0" y="0"/>
                            <a:ext cx="477022" cy="396000"/>
                          </a:xfrm>
                          <a:prstGeom prst="rect">
                            <a:avLst/>
                          </a:prstGeom>
                          <a:noFill/>
                          <a:ln>
                            <a:noFill/>
                          </a:ln>
                        </pic:spPr>
                      </pic:pic>
                    </a:graphicData>
                  </a:graphic>
                </wp:inline>
              </w:drawing>
            </w:r>
          </w:p>
        </w:tc>
        <w:tc>
          <w:tcPr>
            <w:tcW w:w="3983" w:type="dxa"/>
            <w:vAlign w:val="center"/>
          </w:tcPr>
          <w:p w:rsidR="00C544AC" w:rsidRDefault="00BC5AE8">
            <w:pPr>
              <w:widowControl/>
              <w:snapToGrid w:val="0"/>
              <w:jc w:val="left"/>
              <w:rPr>
                <w:rFonts w:ascii="Arial" w:hAnsi="Arial" w:cs="Arial"/>
                <w:sz w:val="17"/>
                <w:szCs w:val="17"/>
              </w:rPr>
            </w:pPr>
            <w:r>
              <w:rPr>
                <w:rFonts w:ascii="Arial" w:hAnsi="Arial" w:cs="Arial"/>
                <w:sz w:val="17"/>
                <w:szCs w:val="17"/>
              </w:rPr>
              <w:t>Only desk telephones will be set up for communication within the warehouse. No mobile phones are allowed.</w:t>
            </w:r>
          </w:p>
        </w:tc>
      </w:tr>
      <w:tr w:rsidR="00C544AC">
        <w:trPr>
          <w:trHeight w:val="20"/>
        </w:trPr>
        <w:tc>
          <w:tcPr>
            <w:tcW w:w="993"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467995" cy="540385"/>
                  <wp:effectExtent l="0" t="0" r="8255" b="0"/>
                  <wp:docPr id="14" name="图片 10"/>
                  <wp:cNvGraphicFramePr/>
                  <a:graphic xmlns:a="http://schemas.openxmlformats.org/drawingml/2006/main">
                    <a:graphicData uri="http://schemas.openxmlformats.org/drawingml/2006/picture">
                      <pic:pic xmlns:pic="http://schemas.openxmlformats.org/drawingml/2006/picture">
                        <pic:nvPicPr>
                          <pic:cNvPr id="14" name="图片 10"/>
                          <pic:cNvPicPr/>
                        </pic:nvPicPr>
                        <pic:blipFill>
                          <a:blip r:embed="rId19"/>
                          <a:stretch>
                            <a:fillRect/>
                          </a:stretch>
                        </pic:blipFill>
                        <pic:spPr>
                          <a:xfrm>
                            <a:off x="0" y="0"/>
                            <a:ext cx="468790" cy="541608"/>
                          </a:xfrm>
                          <a:prstGeom prst="rect">
                            <a:avLst/>
                          </a:prstGeom>
                          <a:noFill/>
                          <a:ln w="9525">
                            <a:noFill/>
                          </a:ln>
                        </pic:spPr>
                      </pic:pic>
                    </a:graphicData>
                  </a:graphic>
                </wp:inline>
              </w:drawing>
            </w:r>
          </w:p>
        </w:tc>
        <w:tc>
          <w:tcPr>
            <w:tcW w:w="3983" w:type="dxa"/>
            <w:shd w:val="clear" w:color="auto" w:fill="F2F2F2" w:themeFill="background1" w:themeFillShade="F2"/>
            <w:vAlign w:val="center"/>
          </w:tcPr>
          <w:p w:rsidR="00C544AC" w:rsidRDefault="00BC5AE8">
            <w:pPr>
              <w:widowControl/>
              <w:snapToGrid w:val="0"/>
              <w:jc w:val="left"/>
              <w:rPr>
                <w:rFonts w:ascii="Arial" w:hAnsi="Arial" w:cs="Arial"/>
                <w:sz w:val="17"/>
                <w:szCs w:val="17"/>
              </w:rPr>
            </w:pPr>
            <w:r>
              <w:rPr>
                <w:rFonts w:ascii="Arial" w:hAnsi="Arial" w:cs="Arial"/>
                <w:sz w:val="17"/>
                <w:szCs w:val="17"/>
              </w:rPr>
              <w:t>A combustible gas leakage detection device should be installed in the warehouse.</w:t>
            </w:r>
          </w:p>
        </w:tc>
      </w:tr>
      <w:tr w:rsidR="00C544AC">
        <w:trPr>
          <w:trHeight w:val="20"/>
        </w:trPr>
        <w:tc>
          <w:tcPr>
            <w:tcW w:w="993" w:type="dxa"/>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467995" cy="439420"/>
                  <wp:effectExtent l="0" t="0" r="8255"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5"/>
                          <a:stretch>
                            <a:fillRect/>
                          </a:stretch>
                        </pic:blipFill>
                        <pic:spPr>
                          <a:xfrm>
                            <a:off x="0" y="0"/>
                            <a:ext cx="468000" cy="439866"/>
                          </a:xfrm>
                          <a:prstGeom prst="rect">
                            <a:avLst/>
                          </a:prstGeom>
                        </pic:spPr>
                      </pic:pic>
                    </a:graphicData>
                  </a:graphic>
                </wp:inline>
              </w:drawing>
            </w:r>
          </w:p>
        </w:tc>
        <w:tc>
          <w:tcPr>
            <w:tcW w:w="3983" w:type="dxa"/>
            <w:vAlign w:val="center"/>
          </w:tcPr>
          <w:p w:rsidR="00C544AC" w:rsidRDefault="00BC5AE8">
            <w:pPr>
              <w:widowControl/>
              <w:snapToGrid w:val="0"/>
              <w:jc w:val="left"/>
              <w:rPr>
                <w:rFonts w:ascii="Arial" w:eastAsia="Calibri" w:hAnsi="Arial" w:cs="Arial"/>
                <w:sz w:val="17"/>
                <w:szCs w:val="17"/>
              </w:rPr>
            </w:pPr>
            <w:bookmarkStart w:id="10" w:name="OLE_LINK13"/>
            <w:r>
              <w:rPr>
                <w:rFonts w:ascii="Arial" w:hAnsi="Arial" w:cs="Arial"/>
                <w:sz w:val="17"/>
                <w:szCs w:val="17"/>
              </w:rPr>
              <w:t>Product placement requirements: One side of the box surface must have a visible fireproof label and cannot be obstructed by other products.</w:t>
            </w:r>
            <w:bookmarkEnd w:id="10"/>
          </w:p>
        </w:tc>
      </w:tr>
      <w:tr w:rsidR="00C544AC">
        <w:trPr>
          <w:trHeight w:val="20"/>
        </w:trPr>
        <w:tc>
          <w:tcPr>
            <w:tcW w:w="993" w:type="dxa"/>
            <w:shd w:val="clear" w:color="auto" w:fill="F2F2F2" w:themeFill="background1" w:themeFillShade="F2"/>
            <w:vAlign w:val="center"/>
          </w:tcPr>
          <w:p w:rsidR="00C544AC" w:rsidRDefault="00BC5AE8">
            <w:pPr>
              <w:widowControl/>
              <w:snapToGrid w:val="0"/>
              <w:rPr>
                <w:rFonts w:ascii="Arial" w:hAnsi="Arial" w:cs="Arial"/>
                <w:sz w:val="17"/>
                <w:szCs w:val="17"/>
              </w:rPr>
            </w:pPr>
            <w:r>
              <w:rPr>
                <w:rFonts w:ascii="Arial" w:hAnsi="Arial" w:cs="Arial"/>
                <w:noProof/>
                <w:sz w:val="17"/>
                <w:szCs w:val="17"/>
                <w:lang w:val="en-US"/>
              </w:rPr>
              <w:drawing>
                <wp:inline distT="0" distB="0" distL="114300" distR="114300">
                  <wp:extent cx="467995" cy="761365"/>
                  <wp:effectExtent l="0" t="0" r="8255" b="63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20"/>
                          <a:stretch>
                            <a:fillRect/>
                          </a:stretch>
                        </pic:blipFill>
                        <pic:spPr>
                          <a:xfrm>
                            <a:off x="0" y="0"/>
                            <a:ext cx="468000" cy="761564"/>
                          </a:xfrm>
                          <a:prstGeom prst="rect">
                            <a:avLst/>
                          </a:prstGeom>
                        </pic:spPr>
                      </pic:pic>
                    </a:graphicData>
                  </a:graphic>
                </wp:inline>
              </w:drawing>
            </w:r>
          </w:p>
        </w:tc>
        <w:tc>
          <w:tcPr>
            <w:tcW w:w="3983" w:type="dxa"/>
            <w:shd w:val="clear" w:color="auto" w:fill="F2F2F2" w:themeFill="background1" w:themeFillShade="F2"/>
            <w:vAlign w:val="center"/>
          </w:tcPr>
          <w:p w:rsidR="00C544AC" w:rsidRDefault="00BC5AE8">
            <w:pPr>
              <w:widowControl/>
              <w:snapToGrid w:val="0"/>
              <w:jc w:val="left"/>
              <w:rPr>
                <w:rFonts w:ascii="Arial" w:hAnsi="Arial" w:cs="Arial"/>
                <w:sz w:val="17"/>
                <w:szCs w:val="17"/>
              </w:rPr>
            </w:pPr>
            <w:r>
              <w:rPr>
                <w:rFonts w:ascii="Arial" w:hAnsi="Arial" w:cs="Arial"/>
                <w:sz w:val="17"/>
                <w:szCs w:val="17"/>
              </w:rPr>
              <w:t>The warehouse should be equipped with dry powder or carbon dioxide fire extinguishers and other fire-fighting equipment suitable for extinguishing electrical fires.</w:t>
            </w:r>
          </w:p>
        </w:tc>
      </w:tr>
    </w:tbl>
    <w:p w:rsidR="00C544AC" w:rsidRDefault="00C544AC">
      <w:pPr>
        <w:widowControl/>
        <w:snapToGrid w:val="0"/>
        <w:spacing w:line="312" w:lineRule="auto"/>
        <w:jc w:val="left"/>
      </w:pPr>
    </w:p>
    <w:p w:rsidR="00C544AC" w:rsidRDefault="00BC5AE8">
      <w:pPr>
        <w:pStyle w:val="11"/>
        <w:rPr>
          <w:color w:val="1F94D2"/>
        </w:rPr>
      </w:pPr>
      <w:r>
        <w:rPr>
          <w:color w:val="1F94D2"/>
        </w:rPr>
        <w:t>Refrigerant leakage handling plan</w:t>
      </w:r>
    </w:p>
    <w:p w:rsidR="00C544AC" w:rsidRDefault="00BC5AE8">
      <w:pPr>
        <w:widowControl/>
        <w:snapToGrid w:val="0"/>
        <w:spacing w:line="312" w:lineRule="auto"/>
        <w:jc w:val="left"/>
        <w:rPr>
          <w:rFonts w:ascii="Arial" w:hAnsi="Arial" w:cs="Arial"/>
          <w:sz w:val="17"/>
          <w:szCs w:val="17"/>
        </w:rPr>
      </w:pPr>
      <w:r>
        <w:rPr>
          <w:rFonts w:ascii="Arial" w:hAnsi="Arial" w:cs="Arial"/>
          <w:noProof/>
          <w:sz w:val="17"/>
          <w:szCs w:val="17"/>
          <w:lang w:val="en-US"/>
        </w:rPr>
        <w:drawing>
          <wp:anchor distT="0" distB="0" distL="114300" distR="114300" simplePos="0" relativeHeight="251657728" behindDoc="0" locked="0" layoutInCell="1" allowOverlap="1">
            <wp:simplePos x="0" y="0"/>
            <wp:positionH relativeFrom="column">
              <wp:posOffset>7664450</wp:posOffset>
            </wp:positionH>
            <wp:positionV relativeFrom="paragraph">
              <wp:posOffset>0</wp:posOffset>
            </wp:positionV>
            <wp:extent cx="1661160" cy="1423670"/>
            <wp:effectExtent l="0" t="0" r="2540" b="11430"/>
            <wp:wrapNone/>
            <wp:docPr id="30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661384" cy="1424043"/>
                    </a:xfrm>
                    <a:prstGeom prst="rect">
                      <a:avLst/>
                    </a:prstGeom>
                    <a:noFill/>
                    <a:ln>
                      <a:noFill/>
                    </a:ln>
                  </pic:spPr>
                </pic:pic>
              </a:graphicData>
            </a:graphic>
          </wp:anchor>
        </w:drawing>
      </w:r>
      <w:r>
        <w:rPr>
          <w:rFonts w:ascii="Arial" w:hAnsi="Arial" w:cs="Arial"/>
          <w:sz w:val="17"/>
          <w:szCs w:val="17"/>
        </w:rPr>
        <w:t>Rapidly evacuate people from the contaminated leakage area to a windward location and isolate them until the gas is fully dissipated. Cut off the fire source. Emergency responders should wear a self-contained breathing apparatus and an anti-static fire protection suit. Cut off the gas source, spray water mist for dilution and dissolution, or take extraction (indoor) or strong ventilation (outdoor) measures. If possible, use explosion-proof exhaust fans to transfer the leaked gas to an open place or install an appropriate nozzle to burn it off. Optionally, move the container with air leakage to an open place. Note that containers that gush air or which have air leakage cannot be used again, and technical measures should be taken to eliminate the remaining gas.</w:t>
      </w:r>
    </w:p>
    <w:p w:rsidR="00C544AC" w:rsidRDefault="00C544AC">
      <w:pPr>
        <w:widowControl/>
        <w:snapToGrid w:val="0"/>
        <w:spacing w:line="312" w:lineRule="auto"/>
        <w:jc w:val="left"/>
        <w:rPr>
          <w:rFonts w:ascii="Arial" w:eastAsia="Calibri" w:hAnsi="Arial" w:cs="Arial"/>
          <w:sz w:val="17"/>
          <w:szCs w:val="17"/>
        </w:rPr>
      </w:pPr>
    </w:p>
    <w:p w:rsidR="00C544AC" w:rsidRDefault="00BC5AE8">
      <w:pPr>
        <w:pStyle w:val="21"/>
        <w:spacing w:before="156" w:after="156"/>
      </w:pPr>
      <w:r>
        <w:t xml:space="preserve">Installation and commissioning </w:t>
      </w:r>
      <w:bookmarkStart w:id="11" w:name="OLE_LINK3"/>
      <w:r>
        <w:t>precautions</w:t>
      </w:r>
      <w:bookmarkEnd w:id="11"/>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1.</w:t>
      </w:r>
      <w:r>
        <w:rPr>
          <w:rFonts w:ascii="Arial" w:hAnsi="Arial" w:cs="Arial"/>
          <w:sz w:val="17"/>
          <w:szCs w:val="17"/>
        </w:rPr>
        <w:tab/>
        <w:t xml:space="preserve">Installation environment check: The </w:t>
      </w:r>
      <w:r>
        <w:rPr>
          <w:rFonts w:ascii="Arial" w:hAnsi="Arial" w:cs="Arial" w:hint="eastAsia"/>
          <w:sz w:val="17"/>
          <w:szCs w:val="17"/>
          <w:lang w:val="en-US"/>
        </w:rPr>
        <w:t>heat pump</w:t>
      </w:r>
      <w:r>
        <w:rPr>
          <w:rFonts w:ascii="Arial" w:hAnsi="Arial" w:cs="Arial"/>
          <w:sz w:val="17"/>
          <w:szCs w:val="17"/>
        </w:rPr>
        <w:t xml:space="preserve"> is not allowed to be installed in an enclosed building space.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2.</w:t>
      </w:r>
      <w:r>
        <w:rPr>
          <w:rFonts w:ascii="Arial" w:hAnsi="Arial" w:cs="Arial"/>
          <w:sz w:val="17"/>
          <w:szCs w:val="17"/>
        </w:rPr>
        <w:tab/>
        <w:t xml:space="preserve">Unpacking check: The product should be unpacked and inspected in a well-ventilated area. A concentration detector should be prepared before </w:t>
      </w:r>
      <w:r>
        <w:rPr>
          <w:rFonts w:ascii="Arial" w:hAnsi="Arial" w:cs="Arial" w:hint="eastAsia"/>
          <w:sz w:val="17"/>
          <w:szCs w:val="17"/>
          <w:lang w:val="en-US"/>
        </w:rPr>
        <w:t>heat pump</w:t>
      </w:r>
      <w:r>
        <w:rPr>
          <w:rFonts w:ascii="Arial" w:hAnsi="Arial" w:cs="Arial"/>
          <w:sz w:val="17"/>
          <w:szCs w:val="17"/>
        </w:rPr>
        <w:t xml:space="preserve"> unpacking to check for damage and abnormal appearance.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3.</w:t>
      </w:r>
      <w:r>
        <w:rPr>
          <w:rFonts w:ascii="Arial" w:hAnsi="Arial" w:cs="Arial"/>
          <w:sz w:val="17"/>
          <w:szCs w:val="17"/>
        </w:rPr>
        <w:tab/>
        <w:t>Installation height check: Not less than 1.0 m for window units, not less than 1.8 m for split wall-mounted units, and not less than 2.2 m for ceiling-mounted units.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4.</w:t>
      </w:r>
      <w:r>
        <w:rPr>
          <w:rFonts w:ascii="Arial" w:hAnsi="Arial" w:cs="Arial"/>
          <w:sz w:val="17"/>
          <w:szCs w:val="17"/>
        </w:rPr>
        <w:tab/>
        <w:t xml:space="preserve">Grounding check: The user's power supply should be grounded with a grounding resistance of no more than 4Ω. The air conditioner grounding wires must be firmly connected to the metal shells of the </w:t>
      </w:r>
      <w:r>
        <w:rPr>
          <w:rFonts w:ascii="Arial" w:hAnsi="Arial" w:cs="Arial" w:hint="eastAsia"/>
          <w:sz w:val="17"/>
          <w:szCs w:val="17"/>
        </w:rPr>
        <w:t>heat pump</w:t>
      </w:r>
      <w:r>
        <w:rPr>
          <w:rFonts w:ascii="Arial" w:hAnsi="Arial" w:cs="Arial"/>
          <w:sz w:val="17"/>
          <w:szCs w:val="17"/>
        </w:rPr>
        <w:t xml:space="preserve"> and ODU and thoroughly checked using a </w:t>
      </w:r>
      <w:proofErr w:type="spellStart"/>
      <w:r>
        <w:rPr>
          <w:rFonts w:ascii="Arial" w:hAnsi="Arial" w:cs="Arial"/>
          <w:sz w:val="17"/>
          <w:szCs w:val="17"/>
        </w:rPr>
        <w:t>multimeter</w:t>
      </w:r>
      <w:proofErr w:type="spellEnd"/>
      <w:r>
        <w:rPr>
          <w:rFonts w:ascii="Arial" w:hAnsi="Arial" w:cs="Arial"/>
          <w:sz w:val="17"/>
          <w:szCs w:val="17"/>
        </w:rPr>
        <w:t>. Arrange a dedicated power supply line and connect it directly to the air conditioner's power supply.</w:t>
      </w:r>
    </w:p>
    <w:p w:rsidR="00C544AC" w:rsidRDefault="00BC5AE8">
      <w:pPr>
        <w:widowControl/>
        <w:snapToGrid w:val="0"/>
        <w:spacing w:line="312" w:lineRule="auto"/>
        <w:ind w:left="284" w:hangingChars="167" w:hanging="284"/>
        <w:jc w:val="left"/>
        <w:rPr>
          <w:rFonts w:ascii="Arial" w:hAnsi="Arial" w:cs="Arial"/>
          <w:sz w:val="17"/>
          <w:szCs w:val="17"/>
        </w:rPr>
      </w:pPr>
      <w:bookmarkStart w:id="12" w:name="OLE_LINK10"/>
      <w:r>
        <w:rPr>
          <w:rFonts w:ascii="Arial" w:hAnsi="Arial" w:cs="Arial"/>
          <w:sz w:val="17"/>
          <w:szCs w:val="17"/>
        </w:rPr>
        <w:t>5.</w:t>
      </w:r>
      <w:r>
        <w:rPr>
          <w:rFonts w:ascii="Arial" w:hAnsi="Arial" w:cs="Arial"/>
          <w:sz w:val="17"/>
          <w:szCs w:val="17"/>
        </w:rPr>
        <w:tab/>
        <w:t>Support installation: The support must be subjected to a test and a corrosion resistance test at more than 4 times the weight of the unit before use.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6.</w:t>
      </w:r>
      <w:r>
        <w:rPr>
          <w:rFonts w:ascii="Arial" w:hAnsi="Arial" w:cs="Arial"/>
          <w:sz w:val="17"/>
          <w:szCs w:val="17"/>
        </w:rPr>
        <w:tab/>
      </w:r>
      <w:proofErr w:type="gramStart"/>
      <w:r>
        <w:rPr>
          <w:rFonts w:ascii="Arial" w:hAnsi="Arial" w:cs="Arial" w:hint="eastAsia"/>
          <w:sz w:val="17"/>
          <w:szCs w:val="17"/>
        </w:rPr>
        <w:t>heat</w:t>
      </w:r>
      <w:proofErr w:type="gramEnd"/>
      <w:r>
        <w:rPr>
          <w:rFonts w:ascii="Arial" w:hAnsi="Arial" w:cs="Arial" w:hint="eastAsia"/>
          <w:sz w:val="17"/>
          <w:szCs w:val="17"/>
        </w:rPr>
        <w:t xml:space="preserve"> pump</w:t>
      </w:r>
      <w:r>
        <w:rPr>
          <w:rFonts w:ascii="Arial" w:hAnsi="Arial" w:cs="Arial"/>
          <w:sz w:val="17"/>
          <w:szCs w:val="17"/>
        </w:rPr>
        <w:t xml:space="preserve"> fixing: When installing the </w:t>
      </w:r>
      <w:r>
        <w:rPr>
          <w:rFonts w:ascii="Arial" w:hAnsi="Arial" w:cs="Arial" w:hint="eastAsia"/>
          <w:sz w:val="17"/>
          <w:szCs w:val="17"/>
        </w:rPr>
        <w:t>heat pump</w:t>
      </w:r>
      <w:r>
        <w:rPr>
          <w:rFonts w:ascii="Arial" w:hAnsi="Arial" w:cs="Arial"/>
          <w:sz w:val="17"/>
          <w:szCs w:val="17"/>
        </w:rPr>
        <w:t xml:space="preserve">, place the refrigerant piping connectors outdoors if possible. When fixing a wall-mounted </w:t>
      </w:r>
      <w:r>
        <w:rPr>
          <w:rFonts w:ascii="Arial" w:hAnsi="Arial" w:cs="Arial" w:hint="eastAsia"/>
          <w:sz w:val="17"/>
          <w:szCs w:val="17"/>
        </w:rPr>
        <w:t>heat pump</w:t>
      </w:r>
      <w:r>
        <w:rPr>
          <w:rFonts w:ascii="Arial" w:hAnsi="Arial" w:cs="Arial"/>
          <w:sz w:val="17"/>
          <w:szCs w:val="17"/>
        </w:rPr>
        <w:t xml:space="preserve">, the distance between the two </w:t>
      </w:r>
      <w:r>
        <w:rPr>
          <w:rFonts w:ascii="Arial" w:hAnsi="Arial" w:cs="Arial"/>
          <w:sz w:val="17"/>
          <w:szCs w:val="17"/>
        </w:rPr>
        <w:lastRenderedPageBreak/>
        <w:t xml:space="preserve">sides of the unit and the wall should be more than 65 cm, the bottom of the unit must be more than 1.8 m above the ground, and an installation height of more than 15 cm should be maintained on the top of the </w:t>
      </w:r>
      <w:r>
        <w:rPr>
          <w:rFonts w:ascii="Arial" w:hAnsi="Arial" w:cs="Arial" w:hint="eastAsia"/>
          <w:sz w:val="17"/>
          <w:szCs w:val="17"/>
        </w:rPr>
        <w:t>heat pump</w:t>
      </w:r>
      <w:r>
        <w:rPr>
          <w:rFonts w:ascii="Arial" w:hAnsi="Arial" w:cs="Arial"/>
          <w:sz w:val="17"/>
          <w:szCs w:val="17"/>
        </w:rPr>
        <w:t>.</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7.</w:t>
      </w:r>
      <w:r>
        <w:rPr>
          <w:rFonts w:ascii="Arial" w:hAnsi="Arial" w:cs="Arial"/>
          <w:sz w:val="17"/>
          <w:szCs w:val="17"/>
        </w:rPr>
        <w:tab/>
        <w:t xml:space="preserve">ODU installation: The clearance between the ODU and the inner wall should not be less than 75 cm. Connect the </w:t>
      </w:r>
      <w:r>
        <w:rPr>
          <w:rFonts w:ascii="Arial" w:hAnsi="Arial" w:cs="Arial" w:hint="eastAsia"/>
          <w:sz w:val="17"/>
          <w:szCs w:val="17"/>
        </w:rPr>
        <w:t>heat pump</w:t>
      </w:r>
      <w:r>
        <w:rPr>
          <w:rFonts w:ascii="Arial" w:hAnsi="Arial" w:cs="Arial"/>
          <w:sz w:val="17"/>
          <w:szCs w:val="17"/>
        </w:rPr>
        <w:t xml:space="preserve"> power cable, signal cable, and ODU's electrical part and take proper insulation measures. Be sure to make a ground connection.</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8.</w:t>
      </w:r>
      <w:r>
        <w:rPr>
          <w:rFonts w:ascii="Arial" w:hAnsi="Arial" w:cs="Arial"/>
          <w:sz w:val="17"/>
          <w:szCs w:val="17"/>
        </w:rPr>
        <w:tab/>
        <w:t>ODU refrigerant pressure check: Check whether the compressor's discharge pressure and air return pressure are within a reasonable range (air return: 0.4–0.6 MPa</w:t>
      </w:r>
      <w:r w:rsidR="000308BA">
        <w:rPr>
          <w:rFonts w:ascii="Arial" w:hAnsi="Arial" w:cs="Arial"/>
          <w:sz w:val="17"/>
          <w:szCs w:val="17"/>
        </w:rPr>
        <w:t>.</w:t>
      </w:r>
      <w:r>
        <w:rPr>
          <w:rFonts w:ascii="Arial" w:hAnsi="Arial" w:cs="Arial"/>
          <w:sz w:val="17"/>
          <w:szCs w:val="17"/>
        </w:rPr>
        <w:t xml:space="preserve"> discharge: 1.5–2.0 MPa).</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9.</w:t>
      </w:r>
      <w:r>
        <w:rPr>
          <w:rFonts w:ascii="Arial" w:hAnsi="Arial" w:cs="Arial"/>
          <w:sz w:val="17"/>
          <w:szCs w:val="17"/>
        </w:rPr>
        <w:tab/>
      </w:r>
      <w:r>
        <w:rPr>
          <w:rFonts w:ascii="Arial" w:hAnsi="Arial" w:cs="Arial" w:hint="eastAsia"/>
          <w:sz w:val="17"/>
          <w:szCs w:val="17"/>
          <w:lang w:val="en-US"/>
        </w:rPr>
        <w:t>IDU</w:t>
      </w:r>
      <w:r>
        <w:rPr>
          <w:rFonts w:ascii="Arial" w:hAnsi="Arial" w:cs="Arial"/>
          <w:sz w:val="17"/>
          <w:szCs w:val="17"/>
        </w:rPr>
        <w:t xml:space="preserve"> and ODU connection pipes: It is prohibited to use removable connections for </w:t>
      </w:r>
      <w:r>
        <w:rPr>
          <w:rFonts w:ascii="Arial" w:hAnsi="Arial" w:cs="Arial" w:hint="eastAsia"/>
          <w:sz w:val="17"/>
          <w:szCs w:val="17"/>
        </w:rPr>
        <w:t>heat pump</w:t>
      </w:r>
      <w:r>
        <w:rPr>
          <w:rFonts w:ascii="Arial" w:hAnsi="Arial" w:cs="Arial"/>
          <w:sz w:val="17"/>
          <w:szCs w:val="17"/>
        </w:rPr>
        <w:t xml:space="preserve"> pipes. Avoid laying the connection pipes in an area with any sources of flame.</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10.</w:t>
      </w:r>
      <w:r>
        <w:rPr>
          <w:rFonts w:ascii="Arial" w:hAnsi="Arial" w:cs="Arial"/>
          <w:sz w:val="17"/>
          <w:szCs w:val="17"/>
        </w:rPr>
        <w:tab/>
        <w:t xml:space="preserve">System </w:t>
      </w:r>
      <w:proofErr w:type="spellStart"/>
      <w:r>
        <w:rPr>
          <w:rFonts w:ascii="Arial" w:hAnsi="Arial" w:cs="Arial"/>
          <w:sz w:val="17"/>
          <w:szCs w:val="17"/>
        </w:rPr>
        <w:t>vacuumizing</w:t>
      </w:r>
      <w:proofErr w:type="spellEnd"/>
      <w:r>
        <w:rPr>
          <w:rFonts w:ascii="Arial" w:hAnsi="Arial" w:cs="Arial"/>
          <w:sz w:val="17"/>
          <w:szCs w:val="17"/>
        </w:rPr>
        <w:t xml:space="preserve">: Use a dedicated vacuum pump for combustible refrigerants to </w:t>
      </w:r>
      <w:proofErr w:type="spellStart"/>
      <w:r>
        <w:rPr>
          <w:rFonts w:ascii="Arial" w:hAnsi="Arial" w:cs="Arial"/>
          <w:sz w:val="17"/>
          <w:szCs w:val="17"/>
        </w:rPr>
        <w:t>vacuumize</w:t>
      </w:r>
      <w:proofErr w:type="spellEnd"/>
      <w:r>
        <w:rPr>
          <w:rFonts w:ascii="Arial" w:hAnsi="Arial" w:cs="Arial"/>
          <w:sz w:val="17"/>
          <w:szCs w:val="17"/>
        </w:rPr>
        <w:t xml:space="preserve"> the system pipelines. It is prohibited to use refrigerants for </w:t>
      </w:r>
      <w:proofErr w:type="spellStart"/>
      <w:r>
        <w:rPr>
          <w:rFonts w:ascii="Arial" w:hAnsi="Arial" w:cs="Arial"/>
          <w:sz w:val="17"/>
          <w:szCs w:val="17"/>
        </w:rPr>
        <w:t>vacuumizing</w:t>
      </w:r>
      <w:proofErr w:type="spellEnd"/>
      <w:r>
        <w:rPr>
          <w:rFonts w:ascii="Arial" w:hAnsi="Arial" w:cs="Arial"/>
          <w:sz w:val="17"/>
          <w:szCs w:val="17"/>
        </w:rPr>
        <w:t>.</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11.</w:t>
      </w:r>
      <w:r>
        <w:rPr>
          <w:rFonts w:ascii="Arial" w:hAnsi="Arial" w:cs="Arial"/>
          <w:sz w:val="17"/>
          <w:szCs w:val="17"/>
        </w:rPr>
        <w:tab/>
        <w:t xml:space="preserve">Test run: Test runs must be performed after the installation is complete. During test runs, perform leakage inspections for pipe connections. Tightly seal the room where the </w:t>
      </w:r>
      <w:r>
        <w:rPr>
          <w:rFonts w:ascii="Arial" w:hAnsi="Arial" w:cs="Arial" w:hint="eastAsia"/>
          <w:sz w:val="17"/>
          <w:szCs w:val="17"/>
        </w:rPr>
        <w:t>heat pump</w:t>
      </w:r>
      <w:r>
        <w:rPr>
          <w:rFonts w:ascii="Arial" w:hAnsi="Arial" w:cs="Arial"/>
          <w:sz w:val="17"/>
          <w:szCs w:val="17"/>
        </w:rPr>
        <w:t xml:space="preserve"> is located and check for refrigerant leaks.</w:t>
      </w:r>
    </w:p>
    <w:p w:rsidR="00C544AC" w:rsidRDefault="00BC5AE8">
      <w:pPr>
        <w:widowControl/>
        <w:snapToGrid w:val="0"/>
        <w:spacing w:line="312" w:lineRule="auto"/>
        <w:ind w:left="284" w:hangingChars="167" w:hanging="284"/>
        <w:jc w:val="left"/>
        <w:rPr>
          <w:rFonts w:ascii="Arial" w:hAnsi="Arial" w:cs="Arial"/>
          <w:sz w:val="17"/>
          <w:szCs w:val="17"/>
        </w:rPr>
      </w:pPr>
      <w:bookmarkStart w:id="13" w:name="OLE_LINK11"/>
      <w:r>
        <w:rPr>
          <w:rFonts w:ascii="Arial" w:hAnsi="Arial" w:cs="Arial"/>
          <w:sz w:val="17"/>
          <w:szCs w:val="17"/>
        </w:rPr>
        <w:t>12.</w:t>
      </w:r>
      <w:r>
        <w:rPr>
          <w:rFonts w:ascii="Arial" w:hAnsi="Arial" w:cs="Arial"/>
          <w:sz w:val="17"/>
          <w:szCs w:val="17"/>
        </w:rPr>
        <w:tab/>
        <w:t xml:space="preserve">Electrical inspection: Perform a grounding check on the </w:t>
      </w:r>
      <w:r>
        <w:rPr>
          <w:rFonts w:ascii="Arial" w:hAnsi="Arial" w:cs="Arial" w:hint="eastAsia"/>
          <w:sz w:val="17"/>
          <w:szCs w:val="17"/>
        </w:rPr>
        <w:t>heat pump</w:t>
      </w:r>
      <w:r>
        <w:rPr>
          <w:rFonts w:ascii="Arial" w:hAnsi="Arial" w:cs="Arial"/>
          <w:sz w:val="17"/>
          <w:szCs w:val="17"/>
        </w:rPr>
        <w:t xml:space="preserve"> sheet metal. Power off and perform an insulation resistance test on the entire unit. </w:t>
      </w:r>
      <w:bookmarkStart w:id="14" w:name="_Hlk143853837"/>
      <w:r>
        <w:rPr>
          <w:rFonts w:ascii="Arial" w:hAnsi="Arial" w:cs="Arial"/>
          <w:sz w:val="17"/>
          <w:szCs w:val="17"/>
        </w:rPr>
        <w:t>The live line + null line insulation resistance to ground should be greater than 10 MΩ.</w:t>
      </w:r>
      <w:bookmarkEnd w:id="14"/>
    </w:p>
    <w:bookmarkEnd w:id="13"/>
    <w:p w:rsidR="00C544AC" w:rsidRDefault="00C544AC">
      <w:pPr>
        <w:widowControl/>
        <w:snapToGrid w:val="0"/>
        <w:spacing w:line="312" w:lineRule="auto"/>
        <w:jc w:val="left"/>
        <w:rPr>
          <w:rFonts w:ascii="Arial" w:eastAsia="Calibri" w:hAnsi="Arial" w:cs="Arial"/>
          <w:sz w:val="17"/>
          <w:szCs w:val="17"/>
        </w:rPr>
      </w:pPr>
    </w:p>
    <w:p w:rsidR="00C544AC" w:rsidRDefault="00BC5AE8">
      <w:pPr>
        <w:pStyle w:val="21"/>
        <w:spacing w:before="156" w:after="156"/>
      </w:pPr>
      <w:r>
        <w:t>Precautions for maintenance requirements</w:t>
      </w:r>
    </w:p>
    <w:p w:rsidR="00C544AC" w:rsidRDefault="00BC5AE8">
      <w:pPr>
        <w:pStyle w:val="11"/>
        <w:rPr>
          <w:color w:val="1F94D2"/>
        </w:rPr>
      </w:pPr>
      <w:r>
        <w:rPr>
          <w:color w:val="1F94D2"/>
        </w:rPr>
        <w:t>Installation safety principles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1.</w:t>
      </w:r>
      <w:r>
        <w:rPr>
          <w:rFonts w:ascii="Arial" w:hAnsi="Arial" w:cs="Arial"/>
          <w:sz w:val="17"/>
          <w:szCs w:val="17"/>
        </w:rPr>
        <w:tab/>
        <w:t>The premises for installation should be kept ventilated.</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2.</w:t>
      </w:r>
      <w:r>
        <w:rPr>
          <w:rFonts w:ascii="Arial" w:hAnsi="Arial" w:cs="Arial"/>
          <w:sz w:val="17"/>
          <w:szCs w:val="17"/>
        </w:rPr>
        <w:tab/>
        <w:t>Open flame or a high-temperature heat source with a temperature higher than 370°C, such as welding or smoking, are prohibited.</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3.</w:t>
      </w:r>
      <w:r>
        <w:rPr>
          <w:rFonts w:ascii="Arial" w:hAnsi="Arial" w:cs="Arial"/>
          <w:sz w:val="17"/>
          <w:szCs w:val="17"/>
        </w:rPr>
        <w:tab/>
        <w:t>Take anti-static measures.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4.</w:t>
      </w:r>
      <w:r>
        <w:rPr>
          <w:rFonts w:ascii="Arial" w:hAnsi="Arial" w:cs="Arial"/>
          <w:sz w:val="17"/>
          <w:szCs w:val="17"/>
        </w:rPr>
        <w:tab/>
        <w:t>Choose a place that is convenient for installation and maintenance, which should not be an environment that is close to heat sources or exposed to flammable or explosive materials.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5.</w:t>
      </w:r>
      <w:r>
        <w:rPr>
          <w:rFonts w:ascii="Arial" w:hAnsi="Arial" w:cs="Arial"/>
          <w:sz w:val="17"/>
          <w:szCs w:val="17"/>
        </w:rPr>
        <w:tab/>
        <w:t xml:space="preserve">During the installation of the </w:t>
      </w:r>
      <w:r>
        <w:rPr>
          <w:rFonts w:ascii="Arial" w:hAnsi="Arial" w:cs="Arial" w:hint="eastAsia"/>
          <w:sz w:val="17"/>
          <w:szCs w:val="17"/>
        </w:rPr>
        <w:t>heat pump</w:t>
      </w:r>
      <w:r>
        <w:rPr>
          <w:rFonts w:ascii="Arial" w:hAnsi="Arial" w:cs="Arial"/>
          <w:sz w:val="17"/>
          <w:szCs w:val="17"/>
        </w:rPr>
        <w:t>, in the event of refrigerant leakage, immediately close the ODU valve. All personnel should leave the room and handle the leakage 15 minutes later. Damaged products must be transported back to the maintenance point for processing. Welding is prohibited on the user's premises.</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6.</w:t>
      </w:r>
      <w:r>
        <w:rPr>
          <w:rFonts w:ascii="Arial" w:hAnsi="Arial" w:cs="Arial"/>
          <w:sz w:val="17"/>
          <w:szCs w:val="17"/>
        </w:rPr>
        <w:tab/>
        <w:t xml:space="preserve">Choose a place where a uniform air inlet and outlet of the </w:t>
      </w:r>
      <w:r>
        <w:rPr>
          <w:rFonts w:ascii="Arial" w:hAnsi="Arial" w:cs="Arial" w:hint="eastAsia"/>
          <w:sz w:val="17"/>
          <w:szCs w:val="17"/>
        </w:rPr>
        <w:t>heat pump</w:t>
      </w:r>
      <w:r>
        <w:rPr>
          <w:rFonts w:ascii="Arial" w:hAnsi="Arial" w:cs="Arial"/>
          <w:sz w:val="17"/>
          <w:szCs w:val="17"/>
        </w:rPr>
        <w:t xml:space="preserve"> can be guaranteed.</w:t>
      </w:r>
    </w:p>
    <w:p w:rsidR="00C544AC" w:rsidRDefault="00BC5AE8">
      <w:pPr>
        <w:widowControl/>
        <w:snapToGrid w:val="0"/>
        <w:spacing w:line="312" w:lineRule="auto"/>
        <w:ind w:left="284" w:hangingChars="167" w:hanging="284"/>
        <w:jc w:val="left"/>
        <w:rPr>
          <w:rFonts w:ascii="Arial" w:hAnsi="Arial" w:cs="Arial"/>
          <w:sz w:val="17"/>
          <w:szCs w:val="17"/>
        </w:rPr>
      </w:pPr>
      <w:r>
        <w:rPr>
          <w:rFonts w:ascii="Arial" w:hAnsi="Arial" w:cs="Arial"/>
          <w:sz w:val="17"/>
          <w:szCs w:val="17"/>
        </w:rPr>
        <w:t>7.</w:t>
      </w:r>
      <w:r>
        <w:rPr>
          <w:rFonts w:ascii="Arial" w:hAnsi="Arial" w:cs="Arial"/>
          <w:sz w:val="17"/>
          <w:szCs w:val="17"/>
        </w:rPr>
        <w:tab/>
        <w:t>Keep both sides of the area underneath the unit away from electric appliances, power switches, sockets, and other items.</w:t>
      </w:r>
    </w:p>
    <w:bookmarkEnd w:id="12"/>
    <w:p w:rsidR="00C544AC" w:rsidRDefault="00C544AC">
      <w:pPr>
        <w:widowControl/>
        <w:snapToGrid w:val="0"/>
        <w:spacing w:line="312" w:lineRule="auto"/>
        <w:jc w:val="left"/>
        <w:rPr>
          <w:rFonts w:ascii="Arial" w:hAnsi="Arial" w:cs="Arial"/>
          <w:sz w:val="17"/>
          <w:szCs w:val="17"/>
        </w:rPr>
      </w:pPr>
    </w:p>
    <w:p w:rsidR="00C544AC" w:rsidRDefault="00BC5AE8">
      <w:pPr>
        <w:pStyle w:val="11"/>
        <w:rPr>
          <w:color w:val="1F94D2"/>
        </w:rPr>
      </w:pPr>
      <w:r>
        <w:rPr>
          <w:color w:val="1F94D2"/>
        </w:rPr>
        <w:t>Tools required</w:t>
      </w:r>
    </w:p>
    <w:tbl>
      <w:tblPr>
        <w:tblStyle w:val="ae"/>
        <w:tblW w:w="0" w:type="auto"/>
        <w:tblBorders>
          <w:left w:val="none" w:sz="0" w:space="0" w:color="auto"/>
          <w:right w:val="none" w:sz="0" w:space="0" w:color="auto"/>
        </w:tblBorders>
        <w:tblCellMar>
          <w:top w:w="57" w:type="dxa"/>
          <w:left w:w="57" w:type="dxa"/>
          <w:bottom w:w="57" w:type="dxa"/>
          <w:right w:w="57" w:type="dxa"/>
        </w:tblCellMar>
        <w:tblLook w:val="04A0" w:firstRow="1" w:lastRow="0" w:firstColumn="1" w:lastColumn="0" w:noHBand="0" w:noVBand="1"/>
      </w:tblPr>
      <w:tblGrid>
        <w:gridCol w:w="1413"/>
        <w:gridCol w:w="3597"/>
      </w:tblGrid>
      <w:tr w:rsidR="00C544AC">
        <w:tc>
          <w:tcPr>
            <w:tcW w:w="1413" w:type="dxa"/>
            <w:vAlign w:val="center"/>
          </w:tcPr>
          <w:p w:rsidR="00C544AC" w:rsidRDefault="00BC5AE8">
            <w:pPr>
              <w:pStyle w:val="ab"/>
              <w:widowControl/>
              <w:snapToGrid w:val="0"/>
              <w:spacing w:beforeAutospacing="0" w:afterAutospacing="0" w:line="312" w:lineRule="auto"/>
              <w:jc w:val="both"/>
              <w:rPr>
                <w:rFonts w:ascii="Arial" w:hAnsi="Arial" w:cs="Arial"/>
                <w:sz w:val="17"/>
                <w:szCs w:val="17"/>
              </w:rPr>
            </w:pPr>
            <w:r>
              <w:rPr>
                <w:rFonts w:ascii="Arial" w:hAnsi="Arial" w:cs="Arial"/>
                <w:noProof/>
                <w:sz w:val="17"/>
                <w:szCs w:val="17"/>
                <w:lang w:val="en-US"/>
              </w:rPr>
              <w:drawing>
                <wp:inline distT="0" distB="0" distL="114300" distR="114300">
                  <wp:extent cx="719455" cy="616585"/>
                  <wp:effectExtent l="0" t="0" r="4445" b="0"/>
                  <wp:docPr id="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720000" cy="617143"/>
                          </a:xfrm>
                          <a:prstGeom prst="rect">
                            <a:avLst/>
                          </a:prstGeom>
                          <a:noFill/>
                          <a:ln>
                            <a:noFill/>
                          </a:ln>
                        </pic:spPr>
                      </pic:pic>
                    </a:graphicData>
                  </a:graphic>
                </wp:inline>
              </w:drawing>
            </w:r>
          </w:p>
          <w:p w:rsidR="00C544AC" w:rsidRDefault="00BC5AE8">
            <w:pPr>
              <w:widowControl/>
              <w:snapToGrid w:val="0"/>
              <w:spacing w:line="312" w:lineRule="auto"/>
              <w:rPr>
                <w:rFonts w:ascii="Arial" w:hAnsi="Arial" w:cs="Arial"/>
                <w:sz w:val="17"/>
                <w:szCs w:val="17"/>
              </w:rPr>
            </w:pPr>
            <w:r>
              <w:rPr>
                <w:rFonts w:ascii="Arial" w:hAnsi="Arial" w:cs="Arial"/>
                <w:sz w:val="17"/>
                <w:szCs w:val="17"/>
              </w:rPr>
              <w:t>Vacuum pump</w:t>
            </w:r>
          </w:p>
        </w:tc>
        <w:tc>
          <w:tcPr>
            <w:tcW w:w="3597" w:type="dxa"/>
            <w:vAlign w:val="center"/>
          </w:tcPr>
          <w:p w:rsidR="00C544AC" w:rsidRDefault="00BC5AE8">
            <w:pPr>
              <w:widowControl/>
              <w:snapToGrid w:val="0"/>
              <w:spacing w:line="312" w:lineRule="auto"/>
              <w:jc w:val="left"/>
              <w:rPr>
                <w:rFonts w:ascii="Arial" w:hAnsi="Arial" w:cs="Arial"/>
                <w:sz w:val="17"/>
                <w:szCs w:val="17"/>
              </w:rPr>
            </w:pPr>
            <w:bookmarkStart w:id="15" w:name="OLE_LINK14"/>
            <w:r>
              <w:rPr>
                <w:rFonts w:ascii="Arial" w:hAnsi="Arial" w:cs="Arial"/>
                <w:sz w:val="17"/>
                <w:szCs w:val="17"/>
              </w:rPr>
              <w:t>When performing pipeline welding or replacing refrigerant during charging, it is necessary to use an explosion-proof vacuum pump.</w:t>
            </w:r>
            <w:bookmarkEnd w:id="15"/>
          </w:p>
        </w:tc>
      </w:tr>
      <w:tr w:rsidR="00C544AC">
        <w:tc>
          <w:tcPr>
            <w:tcW w:w="1413" w:type="dxa"/>
            <w:shd w:val="clear" w:color="auto" w:fill="F2F2F2" w:themeFill="background1" w:themeFillShade="F2"/>
            <w:vAlign w:val="center"/>
          </w:tcPr>
          <w:p w:rsidR="00C544AC" w:rsidRDefault="00BC5AE8">
            <w:pPr>
              <w:keepNext/>
              <w:widowControl/>
              <w:snapToGrid w:val="0"/>
              <w:spacing w:line="312" w:lineRule="auto"/>
              <w:rPr>
                <w:rFonts w:ascii="Arial" w:hAnsi="Arial" w:cs="Arial"/>
                <w:sz w:val="17"/>
                <w:szCs w:val="17"/>
              </w:rPr>
            </w:pPr>
            <w:r>
              <w:rPr>
                <w:rFonts w:ascii="Arial" w:hAnsi="Arial" w:cs="Arial"/>
                <w:noProof/>
                <w:sz w:val="17"/>
                <w:szCs w:val="17"/>
                <w:lang w:val="en-US"/>
              </w:rPr>
              <w:drawing>
                <wp:inline distT="0" distB="0" distL="114300" distR="114300">
                  <wp:extent cx="719455" cy="999490"/>
                  <wp:effectExtent l="0" t="0" r="4445" b="0"/>
                  <wp:docPr id="30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Picture 2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720000" cy="999584"/>
                          </a:xfrm>
                          <a:prstGeom prst="rect">
                            <a:avLst/>
                          </a:prstGeom>
                          <a:noFill/>
                          <a:ln>
                            <a:noFill/>
                          </a:ln>
                        </pic:spPr>
                      </pic:pic>
                    </a:graphicData>
                  </a:graphic>
                </wp:inline>
              </w:drawing>
            </w:r>
          </w:p>
          <w:p w:rsidR="00C544AC" w:rsidRDefault="00BC5AE8">
            <w:pPr>
              <w:widowControl/>
              <w:snapToGrid w:val="0"/>
              <w:spacing w:line="312" w:lineRule="auto"/>
              <w:rPr>
                <w:rFonts w:ascii="Arial" w:hAnsi="Arial" w:cs="Arial"/>
                <w:sz w:val="17"/>
                <w:szCs w:val="17"/>
              </w:rPr>
            </w:pPr>
            <w:r>
              <w:rPr>
                <w:rFonts w:ascii="Arial" w:hAnsi="Arial" w:cs="Arial"/>
                <w:sz w:val="17"/>
                <w:szCs w:val="17"/>
              </w:rPr>
              <w:t>Charging equipment</w:t>
            </w:r>
          </w:p>
        </w:tc>
        <w:tc>
          <w:tcPr>
            <w:tcW w:w="3597" w:type="dxa"/>
            <w:shd w:val="clear" w:color="auto" w:fill="F2F2F2" w:themeFill="background1" w:themeFillShade="F2"/>
            <w:vAlign w:val="center"/>
          </w:tcPr>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The refrigerant must be charged using dedicated explosion-proof charging equipment. Accuracy requirement: The deviation of the charging amount is less than 5 g.</w:t>
            </w:r>
          </w:p>
        </w:tc>
      </w:tr>
      <w:tr w:rsidR="00C544AC">
        <w:tc>
          <w:tcPr>
            <w:tcW w:w="1413" w:type="dxa"/>
            <w:vAlign w:val="center"/>
          </w:tcPr>
          <w:p w:rsidR="00C544AC" w:rsidRDefault="00BC5AE8">
            <w:pPr>
              <w:widowControl/>
              <w:snapToGrid w:val="0"/>
              <w:spacing w:line="312" w:lineRule="auto"/>
              <w:rPr>
                <w:rFonts w:ascii="Arial" w:hAnsi="Arial" w:cs="Arial"/>
                <w:sz w:val="17"/>
                <w:szCs w:val="17"/>
              </w:rPr>
            </w:pPr>
            <w:r>
              <w:rPr>
                <w:rFonts w:ascii="Arial" w:hAnsi="Arial" w:cs="Arial"/>
                <w:noProof/>
                <w:sz w:val="17"/>
                <w:szCs w:val="17"/>
                <w:lang w:val="en-US"/>
              </w:rPr>
              <w:drawing>
                <wp:inline distT="0" distB="0" distL="114300" distR="114300">
                  <wp:extent cx="719455" cy="914400"/>
                  <wp:effectExtent l="0" t="0" r="4445"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
                          <pic:cNvPicPr>
                            <a:picLocks noChangeAspect="1"/>
                          </pic:cNvPicPr>
                        </pic:nvPicPr>
                        <pic:blipFill>
                          <a:blip r:embed="rId19"/>
                          <a:stretch>
                            <a:fillRect/>
                          </a:stretch>
                        </pic:blipFill>
                        <pic:spPr>
                          <a:xfrm>
                            <a:off x="0" y="0"/>
                            <a:ext cx="720000" cy="914400"/>
                          </a:xfrm>
                          <a:prstGeom prst="rect">
                            <a:avLst/>
                          </a:prstGeom>
                          <a:noFill/>
                          <a:ln w="9525">
                            <a:noFill/>
                          </a:ln>
                        </pic:spPr>
                      </pic:pic>
                    </a:graphicData>
                  </a:graphic>
                </wp:inline>
              </w:drawing>
            </w:r>
          </w:p>
          <w:p w:rsidR="00C544AC" w:rsidRDefault="00BC5AE8">
            <w:pPr>
              <w:widowControl/>
              <w:snapToGrid w:val="0"/>
              <w:spacing w:line="312" w:lineRule="auto"/>
              <w:rPr>
                <w:rFonts w:ascii="Arial" w:hAnsi="Arial" w:cs="Arial"/>
                <w:sz w:val="17"/>
                <w:szCs w:val="17"/>
              </w:rPr>
            </w:pPr>
            <w:r>
              <w:rPr>
                <w:rFonts w:ascii="Arial" w:hAnsi="Arial" w:cs="Arial"/>
                <w:sz w:val="17"/>
                <w:szCs w:val="17"/>
              </w:rPr>
              <w:t>Concentration detector</w:t>
            </w:r>
          </w:p>
        </w:tc>
        <w:tc>
          <w:tcPr>
            <w:tcW w:w="3597" w:type="dxa"/>
            <w:vAlign w:val="center"/>
          </w:tcPr>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1. Repair facilities should be equipped with fixed R290 flammable refrigerant concentration detectors, which should be connected to safety protection/alarm systems. The error rate should not exceed 5%.</w:t>
            </w:r>
          </w:p>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2. The installation site should be equipped with portable R290 flammable refrigerant concentration detectors (catalytic combustion/electronic/infrared), which can achieve two-stage audio and visual alarms. The error rate should not exceed 10%.</w:t>
            </w:r>
          </w:p>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3. Detectors need to be calibrated every 30 days.</w:t>
            </w:r>
          </w:p>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4. Before using the detector, functional checks and confirmations should be carried out.</w:t>
            </w:r>
          </w:p>
        </w:tc>
      </w:tr>
      <w:tr w:rsidR="00C544AC">
        <w:tc>
          <w:tcPr>
            <w:tcW w:w="1413" w:type="dxa"/>
            <w:shd w:val="clear" w:color="auto" w:fill="F2F2F2" w:themeFill="background1" w:themeFillShade="F2"/>
            <w:vAlign w:val="center"/>
          </w:tcPr>
          <w:p w:rsidR="00C544AC" w:rsidRDefault="00BC5AE8">
            <w:pPr>
              <w:widowControl/>
              <w:snapToGrid w:val="0"/>
              <w:spacing w:line="312" w:lineRule="auto"/>
              <w:rPr>
                <w:rFonts w:ascii="Arial" w:hAnsi="Arial" w:cs="Arial"/>
                <w:sz w:val="17"/>
                <w:szCs w:val="17"/>
              </w:rPr>
            </w:pPr>
            <w:r>
              <w:rPr>
                <w:rFonts w:ascii="Arial" w:hAnsi="Arial" w:cs="Arial"/>
                <w:noProof/>
                <w:sz w:val="17"/>
                <w:szCs w:val="17"/>
                <w:lang w:val="en-US"/>
              </w:rPr>
              <w:drawing>
                <wp:inline distT="0" distB="0" distL="114300" distR="114300">
                  <wp:extent cx="719455" cy="1079500"/>
                  <wp:effectExtent l="0" t="0" r="4445" b="6350"/>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5"/>
                          <pic:cNvPicPr>
                            <a:picLocks noChangeAspect="1"/>
                          </pic:cNvPicPr>
                        </pic:nvPicPr>
                        <pic:blipFill>
                          <a:blip r:embed="rId20"/>
                          <a:stretch>
                            <a:fillRect/>
                          </a:stretch>
                        </pic:blipFill>
                        <pic:spPr>
                          <a:xfrm>
                            <a:off x="0" y="0"/>
                            <a:ext cx="720000" cy="1080000"/>
                          </a:xfrm>
                          <a:prstGeom prst="rect">
                            <a:avLst/>
                          </a:prstGeom>
                          <a:noFill/>
                          <a:ln w="9525">
                            <a:noFill/>
                          </a:ln>
                        </pic:spPr>
                      </pic:pic>
                    </a:graphicData>
                  </a:graphic>
                </wp:inline>
              </w:drawing>
            </w:r>
          </w:p>
          <w:p w:rsidR="00C544AC" w:rsidRDefault="00BC5AE8">
            <w:pPr>
              <w:widowControl/>
              <w:snapToGrid w:val="0"/>
              <w:spacing w:line="312" w:lineRule="auto"/>
              <w:rPr>
                <w:rFonts w:ascii="Arial" w:hAnsi="Arial" w:cs="Arial"/>
                <w:sz w:val="17"/>
                <w:szCs w:val="17"/>
              </w:rPr>
            </w:pPr>
            <w:r>
              <w:rPr>
                <w:rFonts w:ascii="Arial" w:hAnsi="Arial" w:cs="Arial"/>
                <w:sz w:val="17"/>
                <w:szCs w:val="17"/>
              </w:rPr>
              <w:t>Fire extinguisher</w:t>
            </w:r>
          </w:p>
        </w:tc>
        <w:tc>
          <w:tcPr>
            <w:tcW w:w="3597" w:type="dxa"/>
            <w:shd w:val="clear" w:color="auto" w:fill="F2F2F2" w:themeFill="background1" w:themeFillShade="F2"/>
            <w:vAlign w:val="center"/>
          </w:tcPr>
          <w:p w:rsidR="00C544AC" w:rsidRDefault="00BC5AE8">
            <w:pPr>
              <w:widowControl/>
              <w:snapToGrid w:val="0"/>
              <w:spacing w:line="312" w:lineRule="auto"/>
              <w:jc w:val="left"/>
              <w:rPr>
                <w:rFonts w:ascii="Arial" w:hAnsi="Arial" w:cs="Arial"/>
                <w:sz w:val="17"/>
                <w:szCs w:val="17"/>
              </w:rPr>
            </w:pPr>
            <w:r>
              <w:rPr>
                <w:rFonts w:ascii="Arial" w:hAnsi="Arial" w:cs="Arial"/>
                <w:sz w:val="17"/>
                <w:szCs w:val="17"/>
              </w:rPr>
              <w:t>During installation and repair, a fire extinguisher should be carried. There should be two or more dry powder, carbon dioxide, or foam fire extinguishers available at the repair site, placed in designated locations, with prominent identification, and easily accessible.</w:t>
            </w:r>
          </w:p>
          <w:p w:rsidR="00C544AC" w:rsidRDefault="00C544AC">
            <w:pPr>
              <w:widowControl/>
              <w:snapToGrid w:val="0"/>
              <w:spacing w:line="312" w:lineRule="auto"/>
              <w:jc w:val="left"/>
              <w:rPr>
                <w:rFonts w:ascii="Arial" w:hAnsi="Arial" w:cs="Arial"/>
                <w:sz w:val="17"/>
                <w:szCs w:val="17"/>
              </w:rPr>
            </w:pPr>
          </w:p>
        </w:tc>
      </w:tr>
    </w:tbl>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hAnsi="Arial" w:cs="Arial"/>
          <w:sz w:val="17"/>
          <w:szCs w:val="17"/>
        </w:rPr>
      </w:pPr>
    </w:p>
    <w:p w:rsidR="00C544AC" w:rsidRDefault="00C544AC">
      <w:pPr>
        <w:widowControl/>
        <w:snapToGrid w:val="0"/>
        <w:spacing w:line="312" w:lineRule="auto"/>
        <w:jc w:val="left"/>
        <w:rPr>
          <w:rFonts w:ascii="Arial" w:eastAsia="Calibri" w:hAnsi="Arial" w:cs="Arial"/>
          <w:sz w:val="17"/>
          <w:szCs w:val="17"/>
        </w:rPr>
      </w:pPr>
    </w:p>
    <w:p w:rsidR="00C544AC" w:rsidRDefault="00C544AC">
      <w:pPr>
        <w:widowControl/>
        <w:snapToGrid w:val="0"/>
        <w:spacing w:line="312" w:lineRule="auto"/>
        <w:ind w:leftChars="200" w:left="420"/>
        <w:rPr>
          <w:rFonts w:ascii="Arial" w:eastAsia="Calibri" w:hAnsi="Arial" w:cs="Arial"/>
          <w:sz w:val="17"/>
          <w:szCs w:val="17"/>
        </w:rPr>
        <w:sectPr w:rsidR="00C544AC">
          <w:type w:val="continuous"/>
          <w:pgSz w:w="11906" w:h="16838"/>
          <w:pgMar w:top="720" w:right="720" w:bottom="720" w:left="720" w:header="0" w:footer="427" w:gutter="0"/>
          <w:cols w:num="2" w:space="425"/>
          <w:docGrid w:type="lines" w:linePitch="312"/>
        </w:sectPr>
      </w:pPr>
    </w:p>
    <w:p w:rsidR="000308BA" w:rsidRDefault="000308BA">
      <w:pPr>
        <w:widowControl/>
        <w:jc w:val="left"/>
        <w:rPr>
          <w:rFonts w:ascii="Arial" w:eastAsia="Calibri" w:hAnsi="Arial" w:cs="Arial"/>
          <w:b/>
          <w:sz w:val="17"/>
          <w:szCs w:val="17"/>
        </w:rPr>
      </w:pPr>
      <w:r>
        <w:rPr>
          <w:rFonts w:ascii="Arial" w:eastAsia="Calibri" w:hAnsi="Arial" w:cs="Arial"/>
          <w:b/>
          <w:sz w:val="17"/>
          <w:szCs w:val="17"/>
        </w:rPr>
        <w:br w:type="page"/>
      </w:r>
    </w:p>
    <w:p w:rsidR="000308BA" w:rsidRDefault="000308BA" w:rsidP="000308BA">
      <w:pPr>
        <w:pStyle w:val="21"/>
        <w:spacing w:before="156" w:after="156"/>
        <w:sectPr w:rsidR="000308BA">
          <w:type w:val="continuous"/>
          <w:pgSz w:w="11906" w:h="16838"/>
          <w:pgMar w:top="720" w:right="720" w:bottom="720" w:left="720" w:header="0" w:footer="427" w:gutter="0"/>
          <w:cols w:space="425"/>
          <w:docGrid w:type="lines" w:linePitch="312"/>
        </w:sectPr>
      </w:pPr>
    </w:p>
    <w:p w:rsidR="000308BA" w:rsidRPr="000308BA" w:rsidRDefault="000308BA" w:rsidP="000308BA">
      <w:pPr>
        <w:pStyle w:val="21"/>
        <w:spacing w:before="156" w:after="156"/>
        <w:rPr>
          <w:rFonts w:hint="eastAsia"/>
        </w:rPr>
      </w:pPr>
      <w:r w:rsidRPr="000308BA">
        <w:rPr>
          <w:rFonts w:hint="eastAsia"/>
        </w:rPr>
        <w:lastRenderedPageBreak/>
        <w:t>Guidelines for on-site maintenance of R290 unit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Refrigerant R290, also known as propane, is a natural hydrocarbon refrigerant. Compared to synthetic refrigerants like Freon, natural refrigerant R290 does not contain chlorine atoms in its molecules, hence it has an ODP value of zero and does not deplete the ozone layer. Furthermore, compared to HFC substances that also have no impact on the ozone layer, R290 has a GWP value close to zero and does not contribute to the greenhouse effect. Despite the advantages mentioned above, R290 is flammable and explosive, classified as an A3 refrigerant. Its lower flammability limit (LFL) is only 2.1%, which is one-sixth of R32 refrigerant</w:t>
      </w:r>
      <w:r>
        <w:rPr>
          <w:rFonts w:ascii="Arial" w:hAnsi="Arial" w:cs="Arial"/>
          <w:sz w:val="17"/>
          <w:szCs w:val="17"/>
        </w:rPr>
        <w:t>.</w:t>
      </w:r>
      <w:r w:rsidRPr="000308BA">
        <w:rPr>
          <w:rFonts w:ascii="Arial" w:hAnsi="Arial" w:cs="Arial"/>
          <w:sz w:val="17"/>
          <w:szCs w:val="17"/>
        </w:rPr>
        <w:t xml:space="preserve"> and its burning speed is 46cm/s, seven times that of R32 refrigerant. R290 can form explosive mixtures with air, posing a risk of combustion and explosion when exposed to heat sources and open flames. Therefore, when maintaining heat pump units using R290 refrigerant, the following principles should be followed.</w:t>
      </w:r>
    </w:p>
    <w:p w:rsidR="000308BA" w:rsidRP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b/>
          <w:sz w:val="17"/>
          <w:szCs w:val="17"/>
        </w:rPr>
      </w:pPr>
      <w:r>
        <w:rPr>
          <w:rFonts w:ascii="宋体" w:eastAsia="宋体" w:hAnsi="宋体" w:cs="宋体" w:hint="eastAsia"/>
          <w:b/>
          <w:sz w:val="17"/>
          <w:szCs w:val="17"/>
        </w:rPr>
        <w:t>Ⅰ.</w:t>
      </w:r>
      <w:r w:rsidRPr="000308BA">
        <w:rPr>
          <w:rFonts w:ascii="Arial" w:hAnsi="Arial" w:cs="Arial" w:hint="eastAsia"/>
          <w:b/>
          <w:sz w:val="17"/>
          <w:szCs w:val="17"/>
        </w:rPr>
        <w:t>On-site maintenance conditions for R290 units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1. When maintaining or servicing heat pump units using R290 refrigerant, the site must meet the following conditions: Ensure that within a radius of 6 meters from the unit, there are no sources of fire or heat, and the ventilation is good</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2.  During on-site maintenance, warning signs must be prominently displayed, and isolation barriers must be set up to prevent non-personnel from entering</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3. Fire extinguisher must be equipped on site</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4. Maintain ventilation around the unit</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5.   Maintenance personnel must have repair qualifications certified by Midea or a local third party for flammable refrigerants.</w:t>
      </w:r>
    </w:p>
    <w:p w:rsidR="000308BA" w:rsidRP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b/>
          <w:sz w:val="17"/>
          <w:szCs w:val="17"/>
        </w:rPr>
      </w:pPr>
      <w:r>
        <w:rPr>
          <w:rFonts w:ascii="Arial" w:hAnsi="Arial" w:cs="Arial" w:hint="eastAsia"/>
          <w:b/>
          <w:sz w:val="17"/>
          <w:szCs w:val="17"/>
        </w:rPr>
        <w:t>Ⅱ</w:t>
      </w:r>
      <w:r>
        <w:rPr>
          <w:rFonts w:ascii="Arial" w:hAnsi="Arial" w:cs="Arial" w:hint="eastAsia"/>
          <w:b/>
          <w:sz w:val="17"/>
          <w:szCs w:val="17"/>
        </w:rPr>
        <w:t>.</w:t>
      </w:r>
      <w:r w:rsidRPr="000308BA">
        <w:rPr>
          <w:rFonts w:ascii="Arial" w:hAnsi="Arial" w:cs="Arial" w:hint="eastAsia"/>
          <w:b/>
          <w:sz w:val="17"/>
          <w:szCs w:val="17"/>
        </w:rPr>
        <w:t>Before repairing R290 refrigerant unit, prepare the following tools extra:</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 xml:space="preserve">1. Qualified handheld hydrocarbon refrigerant leak detector, </w:t>
      </w:r>
      <w:r w:rsidRPr="000308BA">
        <w:rPr>
          <w:rFonts w:ascii="Arial" w:hAnsi="Arial" w:cs="Arial" w:hint="eastAsia"/>
          <w:sz w:val="17"/>
          <w:szCs w:val="17"/>
        </w:rPr>
        <w:t>prohibited to use halogen leak detectors or other instruments that may become potential ignition sources</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2. Qualified portable flammable gas concentration detector, capable of detecting flamma</w:t>
      </w:r>
      <w:r>
        <w:rPr>
          <w:rFonts w:ascii="Arial" w:hAnsi="Arial" w:cs="Arial"/>
          <w:sz w:val="17"/>
          <w:szCs w:val="17"/>
        </w:rPr>
        <w:t>ble gas concentrations.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3. Qualified explosion-proof refrigerant-specific refrigerant recovery machine and dedi</w:t>
      </w:r>
      <w:r>
        <w:rPr>
          <w:rFonts w:ascii="Arial" w:hAnsi="Arial" w:cs="Arial" w:hint="eastAsia"/>
          <w:sz w:val="17"/>
          <w:szCs w:val="17"/>
        </w:rPr>
        <w:t>cated refrigerant recovery tank</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b/>
          <w:sz w:val="17"/>
          <w:szCs w:val="17"/>
        </w:rPr>
      </w:pPr>
      <w:r>
        <w:rPr>
          <w:rFonts w:ascii="宋体" w:eastAsia="宋体" w:hAnsi="宋体" w:cs="宋体" w:hint="eastAsia"/>
          <w:b/>
          <w:sz w:val="17"/>
          <w:szCs w:val="17"/>
        </w:rPr>
        <w:t>Ⅲ</w:t>
      </w:r>
      <w:r>
        <w:rPr>
          <w:rFonts w:ascii="宋体" w:eastAsia="宋体" w:hAnsi="宋体" w:cs="宋体"/>
          <w:b/>
          <w:sz w:val="17"/>
          <w:szCs w:val="17"/>
        </w:rPr>
        <w:t>.</w:t>
      </w:r>
      <w:r w:rsidRPr="000308BA">
        <w:rPr>
          <w:rFonts w:ascii="Arial" w:hAnsi="Arial" w:cs="Arial" w:hint="eastAsia"/>
          <w:b/>
          <w:sz w:val="17"/>
          <w:szCs w:val="17"/>
        </w:rPr>
        <w:t>During the maintenance process of the R290 refrigerant unit, the following matters should be noted:</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 xml:space="preserve">1. No smoking is </w:t>
      </w:r>
      <w:r>
        <w:rPr>
          <w:rFonts w:ascii="Arial" w:hAnsi="Arial" w:cs="Arial" w:hint="eastAsia"/>
          <w:sz w:val="17"/>
          <w:szCs w:val="17"/>
        </w:rPr>
        <w:t>allowed at the maintenance site</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2. The equipment power and surrounding socket power mus</w:t>
      </w:r>
      <w:r>
        <w:rPr>
          <w:rFonts w:ascii="Arial" w:hAnsi="Arial" w:cs="Arial" w:hint="eastAsia"/>
          <w:sz w:val="17"/>
          <w:szCs w:val="17"/>
        </w:rPr>
        <w:t>t be cut off during maintenance</w:t>
      </w:r>
      <w:r>
        <w:rPr>
          <w:rFonts w:ascii="Arial" w:hAnsi="Arial" w:cs="Arial"/>
          <w:sz w:val="17"/>
          <w:szCs w:val="17"/>
        </w:rPr>
        <w:t>.</w:t>
      </w:r>
      <w:r w:rsidRPr="000308BA">
        <w:rPr>
          <w:rFonts w:ascii="Arial" w:hAnsi="Arial" w:cs="Arial" w:hint="eastAsia"/>
          <w:sz w:val="17"/>
          <w:szCs w:val="17"/>
        </w:rPr>
        <w:t xml:space="preserve"> If power supply is needed during maintenance, the most dangerous position must be continuously checked for leaks to prevent da</w:t>
      </w:r>
      <w:r>
        <w:rPr>
          <w:rFonts w:ascii="Arial" w:hAnsi="Arial" w:cs="Arial" w:hint="eastAsia"/>
          <w:sz w:val="17"/>
          <w:szCs w:val="17"/>
        </w:rPr>
        <w:t>nger</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3. The R290 refrigerant cylinder should be stored upright in a ventilated place, prohibited from direct sunlight, and no ope</w:t>
      </w:r>
      <w:r>
        <w:rPr>
          <w:rFonts w:ascii="Arial" w:hAnsi="Arial" w:cs="Arial" w:hint="eastAsia"/>
          <w:sz w:val="17"/>
          <w:szCs w:val="17"/>
        </w:rPr>
        <w:t>n flames or heat sources nearby</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 xml:space="preserve">4. Check in advance whether the valve of the R290 </w:t>
      </w:r>
      <w:r>
        <w:rPr>
          <w:rFonts w:ascii="Arial" w:hAnsi="Arial" w:cs="Arial" w:hint="eastAsia"/>
          <w:sz w:val="17"/>
          <w:szCs w:val="17"/>
        </w:rPr>
        <w:t>refrigerant cylinder is leaking</w:t>
      </w:r>
      <w:r>
        <w:rPr>
          <w:rFonts w:ascii="Arial" w:hAnsi="Arial" w:cs="Arial"/>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5. It is prohibited to repeatedly use d</w:t>
      </w:r>
      <w:r>
        <w:rPr>
          <w:rFonts w:ascii="Arial" w:hAnsi="Arial" w:cs="Arial"/>
          <w:sz w:val="17"/>
          <w:szCs w:val="17"/>
        </w:rPr>
        <w:t>isposable refrigerant cylinders.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sz w:val="17"/>
          <w:szCs w:val="17"/>
        </w:rPr>
        <w:t>6. Avoid all improper operations that may cause s</w:t>
      </w:r>
      <w:r>
        <w:rPr>
          <w:rFonts w:ascii="Arial" w:hAnsi="Arial" w:cs="Arial"/>
          <w:sz w:val="17"/>
          <w:szCs w:val="17"/>
        </w:rPr>
        <w:t>parks, such as metal collisions.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7. Wireless radio equipment is prohibited from being used within a radius of 6m of the machine to be repaired.</w:t>
      </w:r>
    </w:p>
    <w:p w:rsidR="000308BA" w:rsidRP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hint="eastAsia"/>
          <w:b/>
          <w:sz w:val="17"/>
          <w:szCs w:val="17"/>
        </w:rPr>
      </w:pPr>
      <w:r>
        <w:rPr>
          <w:rFonts w:ascii="宋体" w:eastAsia="宋体" w:hAnsi="宋体" w:cs="宋体" w:hint="eastAsia"/>
          <w:b/>
          <w:sz w:val="17"/>
          <w:szCs w:val="17"/>
        </w:rPr>
        <w:t>Ⅳ</w:t>
      </w:r>
      <w:r>
        <w:rPr>
          <w:rFonts w:ascii="宋体" w:eastAsia="宋体" w:hAnsi="宋体" w:cs="宋体"/>
          <w:b/>
          <w:sz w:val="17"/>
          <w:szCs w:val="17"/>
        </w:rPr>
        <w:t>.</w:t>
      </w:r>
      <w:r w:rsidRPr="000308BA">
        <w:rPr>
          <w:rFonts w:ascii="Arial" w:hAnsi="Arial" w:cs="Arial" w:hint="eastAsia"/>
          <w:b/>
          <w:sz w:val="17"/>
          <w:szCs w:val="17"/>
        </w:rPr>
        <w:t>R290 Unit Maintenance Process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When on-site maintenance and upkeep of the R290 refrigerant unit is required, the following steps must be followed.</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 Preparatory work before maintenance:</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 xml:space="preserve">(1) Confirm that within a radius of 6 meters from the </w:t>
      </w:r>
      <w:proofErr w:type="spellStart"/>
      <w:r w:rsidRPr="000308BA">
        <w:rPr>
          <w:rFonts w:ascii="Arial" w:hAnsi="Arial" w:cs="Arial" w:hint="eastAsia"/>
          <w:sz w:val="17"/>
          <w:szCs w:val="17"/>
        </w:rPr>
        <w:t>center</w:t>
      </w:r>
      <w:proofErr w:type="spellEnd"/>
      <w:r w:rsidRPr="000308BA">
        <w:rPr>
          <w:rFonts w:ascii="Arial" w:hAnsi="Arial" w:cs="Arial" w:hint="eastAsia"/>
          <w:sz w:val="17"/>
          <w:szCs w:val="17"/>
        </w:rPr>
        <w:t xml:space="preserve"> of the unit, there are no sources of fire or heat, and ventilation is good. If the requirements are met, proceed to the next step</w:t>
      </w:r>
      <w:r>
        <w:rPr>
          <w:rFonts w:ascii="Arial" w:hAnsi="Arial" w:cs="Arial" w:hint="eastAsia"/>
          <w:sz w:val="17"/>
          <w:szCs w:val="17"/>
        </w:rPr>
        <w:t>.</w:t>
      </w:r>
      <w:r w:rsidRPr="000308BA">
        <w:rPr>
          <w:rFonts w:ascii="Arial" w:hAnsi="Arial" w:cs="Arial" w:hint="eastAsia"/>
          <w:sz w:val="17"/>
          <w:szCs w:val="17"/>
        </w:rPr>
        <w:t xml:space="preserve"> if not, the unit must be moved to a suitable location for maintenance.</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(2) Work warning signs should be prominently displayed at</w:t>
      </w:r>
      <w:r>
        <w:rPr>
          <w:rFonts w:ascii="Arial" w:hAnsi="Arial" w:cs="Arial" w:hint="eastAsia"/>
          <w:sz w:val="17"/>
          <w:szCs w:val="17"/>
        </w:rPr>
        <w:t xml:space="preserve"> the maintenance site,</w:t>
      </w:r>
      <w:r w:rsidRPr="000308BA">
        <w:rPr>
          <w:rFonts w:ascii="Arial" w:hAnsi="Arial" w:cs="Arial" w:hint="eastAsia"/>
          <w:sz w:val="17"/>
          <w:szCs w:val="17"/>
        </w:rPr>
        <w:t xml:space="preserve"> and isolation barriers should be set up</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(3) Fire extinguishers must be equipped at the site, and ventilation should be maintained around the unit</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(4) Disconnect the equipment power and socket power</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(5) Maintenance personnel shoul</w:t>
      </w:r>
      <w:r>
        <w:rPr>
          <w:rFonts w:ascii="Arial" w:hAnsi="Arial" w:cs="Arial" w:hint="eastAsia"/>
          <w:sz w:val="17"/>
          <w:szCs w:val="17"/>
        </w:rPr>
        <w:t>d turn on a portable</w:t>
      </w:r>
      <w:r w:rsidRPr="000308BA">
        <w:rPr>
          <w:rFonts w:ascii="Arial" w:hAnsi="Arial" w:cs="Arial" w:hint="eastAsia"/>
          <w:sz w:val="17"/>
          <w:szCs w:val="17"/>
        </w:rPr>
        <w:t xml:space="preserve"> flammable gas detector, gradually approach the unit from 6m away, and continuously monitor the concentration of flammable gas. When approaching the unit, within 1m height from the ground, positions in front, back, left, and right of the unit within 1m should be checked to confirm the presence of flammable gas around the unit. The detector must be set to R290 gas, and the alarm concentration should be 0.52%. Confirm that the flammable gas concentration is below the alarm concentration before performing maintenance operations. If a flammable refrigerant concentration exceeding the alarm value is detected, personnel are prohibited from approaching the unit within 6m</w:t>
      </w:r>
      <w:r>
        <w:rPr>
          <w:rFonts w:ascii="Arial" w:hAnsi="Arial" w:cs="Arial" w:hint="eastAsia"/>
          <w:sz w:val="17"/>
          <w:szCs w:val="17"/>
        </w:rPr>
        <w:t>.</w:t>
      </w:r>
      <w:r w:rsidRPr="000308BA">
        <w:rPr>
          <w:rFonts w:ascii="Arial" w:hAnsi="Arial" w:cs="Arial" w:hint="eastAsia"/>
          <w:sz w:val="17"/>
          <w:szCs w:val="17"/>
        </w:rPr>
        <w:t xml:space="preserve"> appropriate ventilation equipment should be used, and forced ventilation should be carried out on the unit from a distance. Repeat the refrigerant concentration confirmation operation until the concentration near the unit is below the alarm value before performing maintenance operations.</w:t>
      </w:r>
    </w:p>
    <w:p w:rsidR="000308BA" w:rsidRP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2. Maintenance process steps:</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(6) After the preparation work before maintenance is completed, equipment maintenance work can be carried out.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(7) If the unit does not need to release refrigerant during maintenance, the unit maintenance should be carried out according to the normal maintenance process. However, during maintenance, try to avoid operations that may cause sparks such as metal collisions, and prohibit the use of high-power wireless devices. Continuously use portable flammable gas detectors to confirm if there are flammable gases in the surrounding area</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(8) If the unit needs to release system refrigerant for any reason during maintenance, it must be recovered using an explosion-proof refrigerant recovery machine, or the unit must be moved to an outdoor open space position and the refrigerant must be released using mechanical methods. It is prohibited to have open flames or static sparks in the vicinity</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(9) If the unit needs to evacuate refrigerant, professional expansion valve, one-way solenoid valve adjustment tool must be used to ensure that the refrigerant system is completely open</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 xml:space="preserve">(10) If the unit needs to replace components by brazing, after evacuating the refrigerant, a vacuum pump must be used to </w:t>
      </w:r>
      <w:r w:rsidRPr="000308BA">
        <w:rPr>
          <w:rFonts w:ascii="Arial" w:hAnsi="Arial" w:cs="Arial" w:hint="eastAsia"/>
          <w:sz w:val="17"/>
          <w:szCs w:val="17"/>
        </w:rPr>
        <w:lastRenderedPageBreak/>
        <w:t>evacuate the refrigerant system (time or vacuum level), ensuring that there is no residual R290 refrigerant in the system</w:t>
      </w:r>
      <w:r>
        <w:rPr>
          <w:rFonts w:ascii="Arial" w:hAnsi="Arial" w:cs="Arial" w:hint="eastAsia"/>
          <w:sz w:val="17"/>
          <w:szCs w:val="17"/>
        </w:rPr>
        <w:t xml:space="preserve">. </w:t>
      </w:r>
      <w:r>
        <w:rPr>
          <w:rFonts w:ascii="Arial" w:hAnsi="Arial" w:cs="Arial"/>
          <w:sz w:val="17"/>
          <w:szCs w:val="17"/>
        </w:rPr>
        <w:t>O</w:t>
      </w:r>
      <w:r w:rsidRPr="000308BA">
        <w:rPr>
          <w:rFonts w:ascii="Arial" w:hAnsi="Arial" w:cs="Arial" w:hint="eastAsia"/>
          <w:sz w:val="17"/>
          <w:szCs w:val="17"/>
        </w:rPr>
        <w:t>nly then can the unit components be brazed and replaced</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(11) When the unit completes maintenance and needs to recharge refrigerant, a vacuum pump with a flow rate of not less than 4L/min must be used to evacuate the system, ensuring that the system vacuum indicator pressure is below 50Pa and maintaining pressure for 30 minutes without any changes, the system is in a vacuum state and without any leaks, before R290 refrigerant can be recharged</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(12) During the charging and topping up process of R290 refrigerant, it is necessary to strictly ensure that there are no open flames or static sparks, high-power radio equipment in the vicinity</w:t>
      </w:r>
      <w:r>
        <w:rPr>
          <w:rFonts w:ascii="Arial" w:hAnsi="Arial" w:cs="Arial" w:hint="eastAsia"/>
          <w:sz w:val="17"/>
          <w:szCs w:val="17"/>
        </w:rPr>
        <w:t>.</w:t>
      </w:r>
      <w:r w:rsidRPr="000308BA">
        <w:rPr>
          <w:rFonts w:ascii="Arial" w:hAnsi="Arial" w:cs="Arial" w:hint="eastAsia"/>
          <w:sz w:val="17"/>
          <w:szCs w:val="17"/>
        </w:rPr>
        <w:t xml:space="preserve"> The connection between the tank and the unit must ensure air tightness, and refrigerant leakage must not occur</w:t>
      </w:r>
      <w:r>
        <w:rPr>
          <w:rFonts w:ascii="Arial" w:hAnsi="Arial" w:cs="Arial" w:hint="eastAsia"/>
          <w:sz w:val="17"/>
          <w:szCs w:val="17"/>
        </w:rPr>
        <w:t>.</w:t>
      </w:r>
      <w:r w:rsidRPr="000308BA">
        <w:rPr>
          <w:rFonts w:ascii="Arial" w:hAnsi="Arial" w:cs="Arial" w:hint="eastAsia"/>
          <w:sz w:val="17"/>
          <w:szCs w:val="17"/>
        </w:rPr>
        <w:t xml:space="preserve"> </w:t>
      </w:r>
      <w:r>
        <w:rPr>
          <w:rFonts w:ascii="Arial" w:hAnsi="Arial" w:cs="Arial"/>
          <w:sz w:val="17"/>
          <w:szCs w:val="17"/>
        </w:rPr>
        <w:t>D</w:t>
      </w:r>
      <w:r w:rsidRPr="000308BA">
        <w:rPr>
          <w:rFonts w:ascii="Arial" w:hAnsi="Arial" w:cs="Arial" w:hint="eastAsia"/>
          <w:sz w:val="17"/>
          <w:szCs w:val="17"/>
        </w:rPr>
        <w:t>uring the topping up process, the concentration of flammable gases needs to be monitored in real time</w:t>
      </w:r>
      <w:r>
        <w:rPr>
          <w:rFonts w:ascii="Arial" w:hAnsi="Arial" w:cs="Arial" w:hint="eastAsia"/>
          <w:sz w:val="17"/>
          <w:szCs w:val="17"/>
        </w:rPr>
        <w:t>.</w:t>
      </w:r>
      <w:r w:rsidRPr="000308BA">
        <w:rPr>
          <w:rFonts w:ascii="Arial" w:hAnsi="Arial" w:cs="Arial" w:hint="eastAsia"/>
          <w:sz w:val="17"/>
          <w:szCs w:val="17"/>
        </w:rPr>
        <w:t xml:space="preserve"> </w:t>
      </w:r>
      <w:proofErr w:type="gramStart"/>
      <w:r w:rsidRPr="000308BA">
        <w:rPr>
          <w:rFonts w:ascii="Arial" w:hAnsi="Arial" w:cs="Arial" w:hint="eastAsia"/>
          <w:sz w:val="17"/>
          <w:szCs w:val="17"/>
        </w:rPr>
        <w:t>after</w:t>
      </w:r>
      <w:proofErr w:type="gramEnd"/>
      <w:r w:rsidRPr="000308BA">
        <w:rPr>
          <w:rFonts w:ascii="Arial" w:hAnsi="Arial" w:cs="Arial" w:hint="eastAsia"/>
          <w:sz w:val="17"/>
          <w:szCs w:val="17"/>
        </w:rPr>
        <w:t xml:space="preserve"> completing the refrigerant charging or topping up, the unit and tank valves must be locked.</w:t>
      </w:r>
    </w:p>
    <w:p w:rsidR="000308BA" w:rsidRDefault="000308BA" w:rsidP="000308BA">
      <w:pPr>
        <w:widowControl/>
        <w:snapToGrid w:val="0"/>
        <w:spacing w:line="312" w:lineRule="auto"/>
        <w:jc w:val="left"/>
        <w:rPr>
          <w:rFonts w:ascii="Arial" w:hAnsi="Arial" w:cs="Arial"/>
          <w:sz w:val="17"/>
          <w:szCs w:val="17"/>
        </w:rPr>
      </w:pPr>
    </w:p>
    <w:p w:rsidR="000308BA" w:rsidRDefault="000308BA" w:rsidP="000308BA">
      <w:pPr>
        <w:widowControl/>
        <w:snapToGrid w:val="0"/>
        <w:spacing w:line="312" w:lineRule="auto"/>
        <w:jc w:val="left"/>
        <w:rPr>
          <w:rFonts w:ascii="Arial" w:hAnsi="Arial" w:cs="Arial"/>
          <w:sz w:val="17"/>
          <w:szCs w:val="17"/>
        </w:rPr>
      </w:pPr>
    </w:p>
    <w:p w:rsidR="000308BA" w:rsidRDefault="000308BA" w:rsidP="000308BA">
      <w:pPr>
        <w:widowControl/>
        <w:snapToGrid w:val="0"/>
        <w:spacing w:line="312" w:lineRule="auto"/>
        <w:jc w:val="left"/>
        <w:rPr>
          <w:rFonts w:ascii="Arial" w:hAnsi="Arial" w:cs="Arial"/>
          <w:sz w:val="17"/>
          <w:szCs w:val="17"/>
        </w:rPr>
      </w:pPr>
    </w:p>
    <w:p w:rsidR="000308BA" w:rsidRPr="000308BA" w:rsidRDefault="000308BA" w:rsidP="000308BA">
      <w:pPr>
        <w:widowControl/>
        <w:snapToGrid w:val="0"/>
        <w:spacing w:line="312" w:lineRule="auto"/>
        <w:jc w:val="left"/>
        <w:rPr>
          <w:rFonts w:ascii="Arial" w:hAnsi="Arial" w:cs="Arial" w:hint="eastAsia"/>
          <w:sz w:val="17"/>
          <w:szCs w:val="17"/>
        </w:rPr>
      </w:pPr>
      <w:bookmarkStart w:id="16" w:name="_GoBack"/>
      <w:bookmarkEnd w:id="16"/>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3. Steps after maintenance:</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(13) After completing the unit maintenance, the electrical components and structural components of the unit need to be restored</w:t>
      </w:r>
      <w:r>
        <w:rPr>
          <w:rFonts w:ascii="Arial" w:hAnsi="Arial" w:cs="Arial" w:hint="eastAsia"/>
          <w:sz w:val="17"/>
          <w:szCs w:val="17"/>
        </w:rPr>
        <w:t>.</w:t>
      </w:r>
      <w:r w:rsidRPr="000308BA">
        <w:rPr>
          <w:rFonts w:ascii="Arial" w:hAnsi="Arial" w:cs="Arial" w:hint="eastAsia"/>
          <w:sz w:val="17"/>
          <w:szCs w:val="17"/>
        </w:rPr>
        <w:t xml:space="preserve"> </w:t>
      </w:r>
      <w:r>
        <w:rPr>
          <w:rFonts w:ascii="Arial" w:hAnsi="Arial" w:cs="Arial"/>
          <w:sz w:val="17"/>
          <w:szCs w:val="17"/>
        </w:rPr>
        <w:t>I</w:t>
      </w:r>
      <w:r w:rsidRPr="000308BA">
        <w:rPr>
          <w:rFonts w:ascii="Arial" w:hAnsi="Arial" w:cs="Arial" w:hint="eastAsia"/>
          <w:sz w:val="17"/>
          <w:szCs w:val="17"/>
        </w:rPr>
        <w:t>f transferring the unit for maintenance, transfer it back to the installation site for reinstallation</w:t>
      </w:r>
      <w:r>
        <w:rPr>
          <w:rFonts w:ascii="Arial" w:hAnsi="Arial" w:cs="Arial" w:hint="eastAsia"/>
          <w:sz w:val="17"/>
          <w:szCs w:val="17"/>
        </w:rPr>
        <w:t>.</w:t>
      </w:r>
      <w:r w:rsidRPr="000308BA">
        <w:rPr>
          <w:rFonts w:ascii="Arial" w:hAnsi="Arial" w:cs="Arial" w:hint="eastAsia"/>
          <w:sz w:val="17"/>
          <w:szCs w:val="17"/>
        </w:rPr>
        <w:t xml:space="preserve"> Pay attention to the protection of the unit during installation to avoid refrigerant leakage caused by handling or impact</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Pr>
          <w:rFonts w:ascii="Arial" w:hAnsi="Arial" w:cs="Arial" w:hint="eastAsia"/>
          <w:sz w:val="17"/>
          <w:szCs w:val="17"/>
        </w:rPr>
        <w:t>(14) Return</w:t>
      </w:r>
      <w:r w:rsidRPr="000308BA">
        <w:rPr>
          <w:rFonts w:ascii="Arial" w:hAnsi="Arial" w:cs="Arial" w:hint="eastAsia"/>
          <w:sz w:val="17"/>
          <w:szCs w:val="17"/>
        </w:rPr>
        <w:t xml:space="preserve"> the refrigerant cylinder to a safe area during maintenance</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(15) After maintenance, re-run the unit to ensure the effectiveness of the repair</w:t>
      </w:r>
      <w:r>
        <w:rPr>
          <w:rFonts w:ascii="Arial" w:hAnsi="Arial" w:cs="Arial" w:hint="eastAsia"/>
          <w:sz w:val="17"/>
          <w:szCs w:val="17"/>
        </w:rPr>
        <w:t>.</w:t>
      </w:r>
      <w:r w:rsidRPr="000308BA">
        <w:rPr>
          <w:rFonts w:ascii="Arial" w:hAnsi="Arial" w:cs="Arial" w:hint="eastAsia"/>
          <w:sz w:val="17"/>
          <w:szCs w:val="17"/>
        </w:rPr>
        <w:t xml:space="preserve"> Before powering on the unit during the trial run, use a flammable gas detector again to confirm whether the flammable gas around the unit is below the alarm value</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(16) After confirming the good maintenance effect, return the maintenance equipment, remove the safety warning signs, and restore the site</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(17) Recycled R290 refrigerant should be processed and recycled according to local regulations</w:t>
      </w:r>
      <w:r>
        <w:rPr>
          <w:rFonts w:ascii="Arial" w:hAnsi="Arial" w:cs="Arial" w:hint="eastAsia"/>
          <w:sz w:val="17"/>
          <w:szCs w:val="17"/>
        </w:rPr>
        <w:t>.</w:t>
      </w:r>
    </w:p>
    <w:p w:rsidR="000308BA" w:rsidRPr="000308BA" w:rsidRDefault="000308BA" w:rsidP="000308BA">
      <w:pPr>
        <w:widowControl/>
        <w:snapToGrid w:val="0"/>
        <w:spacing w:line="312" w:lineRule="auto"/>
        <w:jc w:val="left"/>
        <w:rPr>
          <w:rFonts w:ascii="Arial" w:hAnsi="Arial" w:cs="Arial"/>
          <w:sz w:val="17"/>
          <w:szCs w:val="17"/>
        </w:rPr>
      </w:pPr>
      <w:r w:rsidRPr="000308BA">
        <w:rPr>
          <w:rFonts w:ascii="Arial" w:hAnsi="Arial" w:cs="Arial" w:hint="eastAsia"/>
          <w:sz w:val="17"/>
          <w:szCs w:val="17"/>
        </w:rPr>
        <w:t>(18) If the unit needs to be recovered and processed, the refrigerant must be recovered according to the above requirements to ensure that the recovery equipment is free of refrigerant before entering the warehouse.</w:t>
      </w:r>
    </w:p>
    <w:p w:rsidR="000308BA" w:rsidRDefault="000308BA" w:rsidP="000308BA">
      <w:pPr>
        <w:widowControl/>
        <w:snapToGrid w:val="0"/>
        <w:spacing w:line="312" w:lineRule="auto"/>
        <w:jc w:val="left"/>
        <w:rPr>
          <w:rFonts w:ascii="Arial" w:hAnsi="Arial" w:cs="Arial"/>
          <w:sz w:val="17"/>
          <w:szCs w:val="17"/>
        </w:rPr>
        <w:sectPr w:rsidR="000308BA" w:rsidSect="000308BA">
          <w:type w:val="continuous"/>
          <w:pgSz w:w="11906" w:h="16838"/>
          <w:pgMar w:top="720" w:right="720" w:bottom="720" w:left="720" w:header="0" w:footer="427" w:gutter="0"/>
          <w:cols w:num="2" w:space="425"/>
          <w:docGrid w:type="lines" w:linePitch="312"/>
        </w:sectPr>
      </w:pPr>
    </w:p>
    <w:p w:rsidR="00C544AC" w:rsidRPr="000308BA" w:rsidRDefault="00C544AC" w:rsidP="000308BA">
      <w:pPr>
        <w:widowControl/>
        <w:snapToGrid w:val="0"/>
        <w:spacing w:line="312" w:lineRule="auto"/>
        <w:jc w:val="left"/>
        <w:rPr>
          <w:rFonts w:ascii="Arial" w:hAnsi="Arial" w:cs="Arial"/>
          <w:sz w:val="17"/>
          <w:szCs w:val="17"/>
        </w:rPr>
      </w:pPr>
    </w:p>
    <w:sectPr w:rsidR="00C544AC" w:rsidRPr="000308BA">
      <w:type w:val="continuous"/>
      <w:pgSz w:w="11906" w:h="16838"/>
      <w:pgMar w:top="720" w:right="720" w:bottom="720" w:left="720" w:header="0" w:footer="427"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78B8" w:rsidRDefault="00C478B8">
      <w:r>
        <w:separator/>
      </w:r>
    </w:p>
  </w:endnote>
  <w:endnote w:type="continuationSeparator" w:id="0">
    <w:p w:rsidR="00C478B8" w:rsidRDefault="00C47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Heiti SC Light">
    <w:altName w:val="Malgun Gothic Semilight"/>
    <w:charset w:val="50"/>
    <w:family w:val="auto"/>
    <w:pitch w:val="default"/>
    <w:sig w:usb0="00000000" w:usb1="00000000" w:usb2="00000010" w:usb3="00000000" w:csb0="003E0000" w:csb1="00000000"/>
  </w:font>
  <w:font w:name="Cambria">
    <w:panose1 w:val="02040503050406030204"/>
    <w:charset w:val="00"/>
    <w:family w:val="roman"/>
    <w:pitch w:val="variable"/>
    <w:sig w:usb0="A00002EF" w:usb1="4000004B" w:usb2="00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44AC" w:rsidRDefault="00C478B8">
    <w:pPr>
      <w:pStyle w:val="a7"/>
      <w:tabs>
        <w:tab w:val="clear" w:pos="4153"/>
        <w:tab w:val="clear" w:pos="8306"/>
        <w:tab w:val="right" w:pos="10466"/>
      </w:tabs>
      <w:ind w:leftChars="-1" w:hangingChars="1" w:hanging="2"/>
    </w:pPr>
    <w:sdt>
      <w:sdtPr>
        <w:id w:val="-1087689239"/>
      </w:sdtPr>
      <w:sdtEndPr/>
      <w:sdtContent>
        <w:r w:rsidR="00BC5AE8">
          <w:rPr>
            <w:rFonts w:asciiTheme="majorHAnsi" w:hAnsiTheme="majorHAnsi"/>
            <w:noProof/>
            <w:sz w:val="28"/>
            <w:szCs w:val="28"/>
            <w:lang w:val="en-US"/>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bottomMargin">
                    <wp:align>center</wp:align>
                  </wp:positionV>
                  <wp:extent cx="455295" cy="355600"/>
                  <wp:effectExtent l="0" t="0" r="0" b="0"/>
                  <wp:wrapNone/>
                  <wp:docPr id="1" name="流程图: 可选过程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5295" cy="355600"/>
                          </a:xfrm>
                          <a:prstGeom prst="flowChartAlternateProcess">
                            <a:avLst/>
                          </a:prstGeom>
                          <a:noFill/>
                          <a:ln>
                            <a:noFill/>
                          </a:ln>
                        </wps:spPr>
                        <wps:txbx>
                          <w:txbxContent>
                            <w:p w:rsidR="00C544AC" w:rsidRDefault="00BC5AE8">
                              <w:pPr>
                                <w:pStyle w:val="a7"/>
                                <w:jc w:val="center"/>
                                <w:rPr>
                                  <w:rFonts w:ascii="Arial" w:hAnsi="Arial" w:cs="Arial"/>
                                  <w:sz w:val="17"/>
                                  <w:szCs w:val="17"/>
                                </w:rPr>
                              </w:pPr>
                              <w:r>
                                <w:rPr>
                                  <w:rFonts w:ascii="Arial" w:hAnsi="Arial" w:cs="Arial"/>
                                  <w:sz w:val="17"/>
                                  <w:szCs w:val="17"/>
                                </w:rPr>
                                <w:fldChar w:fldCharType="begin"/>
                              </w:r>
                              <w:r>
                                <w:rPr>
                                  <w:rFonts w:ascii="Arial" w:hAnsi="Arial" w:cs="Arial"/>
                                  <w:sz w:val="17"/>
                                  <w:szCs w:val="17"/>
                                </w:rPr>
                                <w:instrText>PAGE    \* MERGEFORMAT</w:instrText>
                              </w:r>
                              <w:r>
                                <w:rPr>
                                  <w:rFonts w:ascii="Arial" w:hAnsi="Arial" w:cs="Arial"/>
                                  <w:sz w:val="17"/>
                                  <w:szCs w:val="17"/>
                                </w:rPr>
                                <w:fldChar w:fldCharType="separate"/>
                              </w:r>
                              <w:r w:rsidR="000308BA">
                                <w:rPr>
                                  <w:rFonts w:ascii="Arial" w:hAnsi="Arial" w:cs="Arial"/>
                                  <w:noProof/>
                                  <w:sz w:val="17"/>
                                  <w:szCs w:val="17"/>
                                </w:rPr>
                                <w:t>4</w:t>
                              </w:r>
                              <w:r>
                                <w:rPr>
                                  <w:rFonts w:ascii="Arial" w:hAnsi="Arial" w:cs="Arial"/>
                                  <w:sz w:val="17"/>
                                  <w:szCs w:val="17"/>
                                </w:rPr>
                                <w:fldChar w:fldCharType="end"/>
                              </w:r>
                            </w:p>
                          </w:txbxContent>
                        </wps:txbx>
                        <wps:bodyPr rot="0" vert="horz" wrap="square" lIns="91440" tIns="45720" rIns="91440" bIns="45720" anchor="t" anchorCtr="0" upright="1">
                          <a:noAutofit/>
                        </wps:bodyPr>
                      </wps:wsp>
                    </a:graphicData>
                  </a:graphic>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流程图: 可选过程 1" o:spid="_x0000_s1026" type="#_x0000_t176" style="position:absolute;margin-left:0;margin-top:0;width:35.85pt;height:28pt;z-index:251661312;visibility:visible;mso-wrap-style:square;mso-wrap-distance-left:9pt;mso-wrap-distance-top:0;mso-wrap-distance-right:9pt;mso-wrap-distance-bottom:0;mso-position-horizontal:center;mso-position-horizontal-relative:margin;mso-position-vertical:center;mso-position-vertical-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" filled="f" stroked="f">
                  <v:textbox>
                    <w:txbxContent>
                      <w:p w:rsidR="00C544AC" w:rsidRDefault="00BC5AE8">
                        <w:pPr>
                          <w:pStyle w:val="a7"/>
                          <w:jc w:val="center"/>
                          <w:rPr>
                            <w:rFonts w:ascii="Arial" w:hAnsi="Arial" w:cs="Arial"/>
                            <w:sz w:val="17"/>
                            <w:szCs w:val="17"/>
                          </w:rPr>
                        </w:pPr>
                        <w:r>
                          <w:rPr>
                            <w:rFonts w:ascii="Arial" w:hAnsi="Arial" w:cs="Arial"/>
                            <w:sz w:val="17"/>
                            <w:szCs w:val="17"/>
                          </w:rPr>
                          <w:fldChar w:fldCharType="begin"/>
                        </w:r>
                        <w:r>
                          <w:rPr>
                            <w:rFonts w:ascii="Arial" w:hAnsi="Arial" w:cs="Arial"/>
                            <w:sz w:val="17"/>
                            <w:szCs w:val="17"/>
                          </w:rPr>
                          <w:instrText>PAGE    \* MERGEFORMAT</w:instrText>
                        </w:r>
                        <w:r>
                          <w:rPr>
                            <w:rFonts w:ascii="Arial" w:hAnsi="Arial" w:cs="Arial"/>
                            <w:sz w:val="17"/>
                            <w:szCs w:val="17"/>
                          </w:rPr>
                          <w:fldChar w:fldCharType="separate"/>
                        </w:r>
                        <w:r w:rsidR="000308BA">
                          <w:rPr>
                            <w:rFonts w:ascii="Arial" w:hAnsi="Arial" w:cs="Arial"/>
                            <w:noProof/>
                            <w:sz w:val="17"/>
                            <w:szCs w:val="17"/>
                          </w:rPr>
                          <w:t>4</w:t>
                        </w:r>
                        <w:r>
                          <w:rPr>
                            <w:rFonts w:ascii="Arial" w:hAnsi="Arial" w:cs="Arial"/>
                            <w:sz w:val="17"/>
                            <w:szCs w:val="17"/>
                          </w:rPr>
                          <w:fldChar w:fldCharType="end"/>
                        </w:r>
                      </w:p>
                    </w:txbxContent>
                  </v:textbox>
                  <w10:wrap anchorx="margin" anchory="margin"/>
                </v:shape>
              </w:pict>
            </mc:Fallback>
          </mc:AlternateContent>
        </w:r>
        <w:r w:rsidR="00BC5AE8">
          <w:rPr>
            <w:rFonts w:ascii="微软雅黑" w:hAnsi="微软雅黑"/>
            <w:noProof/>
            <w:color w:val="404040" w:themeColor="text1" w:themeTint="BF"/>
            <w:sz w:val="28"/>
            <w:szCs w:val="28"/>
            <w:lang w:val="en-US"/>
          </w:rPr>
          <w:drawing>
            <wp:inline distT="0" distB="0" distL="114300" distR="114300">
              <wp:extent cx="1348740" cy="242570"/>
              <wp:effectExtent l="0" t="0" r="3810" b="5080"/>
              <wp:docPr id="3" name="图片 6" descr="8b2148a2a336cb8eb7337cfcbd469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descr="8b2148a2a336cb8eb7337cfcbd469a8"/>
                      <pic:cNvPicPr>
                        <a:picLocks noChangeAspect="1"/>
                      </pic:cNvPicPr>
                    </pic:nvPicPr>
                    <pic:blipFill>
                      <a:blip r:embed="rId1"/>
                      <a:stretch>
                        <a:fillRect/>
                      </a:stretch>
                    </pic:blipFill>
                    <pic:spPr>
                      <a:xfrm>
                        <a:off x="0" y="0"/>
                        <a:ext cx="1348740" cy="242570"/>
                      </a:xfrm>
                      <a:prstGeom prst="rect">
                        <a:avLst/>
                      </a:prstGeom>
                    </pic:spPr>
                  </pic:pic>
                </a:graphicData>
              </a:graphic>
            </wp:inline>
          </w:drawing>
        </w:r>
        <w:r w:rsidR="00BC5AE8">
          <w:t xml:space="preserve"> </w:t>
        </w:r>
        <w:r w:rsidR="00BC5AE8">
          <w:tab/>
        </w:r>
        <w:r w:rsidR="00BC5AE8">
          <w:rPr>
            <w:noProof/>
            <w:lang w:val="en-US"/>
          </w:rPr>
          <w:drawing>
            <wp:inline distT="0" distB="0" distL="114300" distR="114300">
              <wp:extent cx="738505" cy="113665"/>
              <wp:effectExtent l="0" t="0" r="4445" b="635"/>
              <wp:docPr id="7" name="图片 5" descr="46673c468d4070c8af8b73b5be9e3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46673c468d4070c8af8b73b5be9e3d5"/>
                      <pic:cNvPicPr>
                        <a:picLocks noChangeAspect="1"/>
                      </pic:cNvPicPr>
                    </pic:nvPicPr>
                    <pic:blipFill>
                      <a:blip r:embed="rId2"/>
                      <a:srcRect l="38621" r="252"/>
                      <a:stretch>
                        <a:fillRect/>
                      </a:stretch>
                    </pic:blipFill>
                    <pic:spPr>
                      <a:xfrm>
                        <a:off x="0" y="0"/>
                        <a:ext cx="738505" cy="113665"/>
                      </a:xfrm>
                      <a:prstGeom prst="rect">
                        <a:avLst/>
                      </a:prstGeom>
                    </pic:spPr>
                  </pic:pic>
                </a:graphicData>
              </a:graphic>
            </wp:inline>
          </w:drawing>
        </w:r>
      </w:sdtContent>
    </w:sdt>
  </w:p>
  <w:p w:rsidR="00C544AC" w:rsidRDefault="00C544AC">
    <w:pPr>
      <w:pStyle w:val="a7"/>
      <w:ind w:leftChars="-743" w:left="-1" w:hangingChars="866" w:hanging="1559"/>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78B8" w:rsidRDefault="00C478B8">
      <w:r>
        <w:separator/>
      </w:r>
    </w:p>
  </w:footnote>
  <w:footnote w:type="continuationSeparator" w:id="0">
    <w:p w:rsidR="00C478B8" w:rsidRDefault="00C47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544AC" w:rsidRDefault="00BC5AE8">
    <w:pPr>
      <w:pStyle w:val="a9"/>
      <w:pBdr>
        <w:bottom w:val="none" w:sz="0" w:space="0" w:color="auto"/>
      </w:pBdr>
    </w:pPr>
    <w:r>
      <w:rPr>
        <w:rFonts w:hint="eastAsia"/>
        <w:noProof/>
        <w:lang w:val="en-US"/>
      </w:rPr>
      <w:drawing>
        <wp:inline distT="0" distB="0" distL="114300" distR="114300">
          <wp:extent cx="6713855" cy="754380"/>
          <wp:effectExtent l="0" t="0" r="10795" b="7620"/>
          <wp:docPr id="11" name="图片 11" descr="cc9794f9a6e97528a3a91bf008625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c9794f9a6e97528a3a91bf0086250d"/>
                  <pic:cNvPicPr>
                    <a:picLocks noChangeAspect="1"/>
                  </pic:cNvPicPr>
                </pic:nvPicPr>
                <pic:blipFill>
                  <a:blip r:embed="rId1"/>
                  <a:stretch>
                    <a:fillRect/>
                  </a:stretch>
                </pic:blipFill>
                <pic:spPr>
                  <a:xfrm>
                    <a:off x="0" y="0"/>
                    <a:ext cx="6713855" cy="7543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7D61255"/>
    <w:multiLevelType w:val="multilevel"/>
    <w:tmpl w:val="77D61255"/>
    <w:lvl w:ilvl="0">
      <w:start w:val="1"/>
      <w:numFmt w:val="decimal"/>
      <w:pStyle w:val="1"/>
      <w:lvlText w:val="%1."/>
      <w:lvlJc w:val="left"/>
      <w:pPr>
        <w:tabs>
          <w:tab w:val="left" w:pos="720"/>
        </w:tabs>
        <w:ind w:left="720" w:hanging="720"/>
      </w:pPr>
      <w:rPr>
        <w:rFonts w:ascii="Times New Roman" w:hAnsi="Times New Roman" w:hint="default"/>
        <w:b/>
        <w:i w:val="0"/>
        <w:caps/>
        <w:sz w:val="20"/>
      </w:rPr>
    </w:lvl>
    <w:lvl w:ilvl="1">
      <w:start w:val="1"/>
      <w:numFmt w:val="decimal"/>
      <w:pStyle w:val="2"/>
      <w:lvlText w:val="%1.%2"/>
      <w:lvlJc w:val="left"/>
      <w:pPr>
        <w:tabs>
          <w:tab w:val="left" w:pos="720"/>
        </w:tabs>
        <w:ind w:left="720" w:hanging="720"/>
      </w:pPr>
      <w:rPr>
        <w:rFonts w:ascii="Times New Roman" w:hAnsi="Times New Roman" w:hint="default"/>
        <w:b w:val="0"/>
        <w:i w:val="0"/>
        <w:caps w:val="0"/>
        <w:sz w:val="20"/>
        <w:lang w:val="en-US"/>
      </w:rPr>
    </w:lvl>
    <w:lvl w:ilvl="2">
      <w:start w:val="1"/>
      <w:numFmt w:val="lowerLetter"/>
      <w:pStyle w:val="3"/>
      <w:lvlText w:val="(%3)"/>
      <w:lvlJc w:val="left"/>
      <w:pPr>
        <w:tabs>
          <w:tab w:val="left" w:pos="1559"/>
        </w:tabs>
        <w:ind w:left="1559" w:hanging="567"/>
      </w:pPr>
      <w:rPr>
        <w:rFonts w:ascii="Times New Roman" w:hAnsi="Times New Roman" w:hint="default"/>
        <w:b w:val="0"/>
        <w:i w:val="0"/>
        <w:sz w:val="20"/>
        <w:lang w:val="en-GB"/>
      </w:rPr>
    </w:lvl>
    <w:lvl w:ilvl="3">
      <w:start w:val="1"/>
      <w:numFmt w:val="lowerRoman"/>
      <w:pStyle w:val="4"/>
      <w:lvlText w:val="(%4)"/>
      <w:lvlJc w:val="left"/>
      <w:pPr>
        <w:tabs>
          <w:tab w:val="left" w:pos="2421"/>
        </w:tabs>
        <w:ind w:left="2268" w:hanging="567"/>
      </w:pPr>
      <w:rPr>
        <w:rFonts w:ascii="Times New Roman" w:hAnsi="Times New Roman" w:hint="default"/>
        <w:b w:val="0"/>
        <w:i w:val="0"/>
        <w:sz w:val="20"/>
      </w:rPr>
    </w:lvl>
    <w:lvl w:ilvl="4">
      <w:start w:val="1"/>
      <w:numFmt w:val="upperLetter"/>
      <w:pStyle w:val="5"/>
      <w:lvlText w:val="(%5)"/>
      <w:lvlJc w:val="left"/>
      <w:pPr>
        <w:tabs>
          <w:tab w:val="left" w:pos="2880"/>
        </w:tabs>
        <w:ind w:left="2880" w:hanging="720"/>
      </w:pPr>
      <w:rPr>
        <w:rFonts w:ascii="Times New Roman" w:hAnsi="Times New Roman" w:hint="default"/>
        <w:b w:val="0"/>
        <w:i w:val="0"/>
        <w:sz w:val="22"/>
      </w:rPr>
    </w:lvl>
    <w:lvl w:ilvl="5">
      <w:start w:val="1"/>
      <w:numFmt w:val="decimal"/>
      <w:lvlText w:val="%6."/>
      <w:lvlJc w:val="left"/>
      <w:pPr>
        <w:tabs>
          <w:tab w:val="left" w:pos="3600"/>
        </w:tabs>
        <w:ind w:left="3600" w:hanging="720"/>
      </w:pPr>
      <w:rPr>
        <w:rFonts w:ascii="Times New Roman" w:hAnsi="Times New Roman" w:hint="default"/>
        <w:b w:val="0"/>
        <w:i w:val="0"/>
        <w:sz w:val="22"/>
      </w:rPr>
    </w:lvl>
    <w:lvl w:ilvl="6">
      <w:start w:val="1"/>
      <w:numFmt w:val="decimal"/>
      <w:lvlText w:val="%7."/>
      <w:lvlJc w:val="left"/>
      <w:pPr>
        <w:tabs>
          <w:tab w:val="left" w:pos="4320"/>
        </w:tabs>
        <w:ind w:left="4320" w:hanging="720"/>
      </w:pPr>
      <w:rPr>
        <w:rFonts w:hint="default"/>
      </w:rPr>
    </w:lvl>
    <w:lvl w:ilvl="7">
      <w:start w:val="1"/>
      <w:numFmt w:val="decimal"/>
      <w:lvlText w:val="%8."/>
      <w:lvlJc w:val="left"/>
      <w:pPr>
        <w:tabs>
          <w:tab w:val="left" w:pos="5040"/>
        </w:tabs>
        <w:ind w:left="5040" w:hanging="720"/>
      </w:pPr>
      <w:rPr>
        <w:rFonts w:ascii="Times New Roman" w:hAnsi="Times New Roman" w:hint="default"/>
        <w:b w:val="0"/>
        <w:i w:val="0"/>
        <w:sz w:val="22"/>
      </w:rPr>
    </w:lvl>
    <w:lvl w:ilvl="8">
      <w:start w:val="1"/>
      <w:numFmt w:val="decimal"/>
      <w:lvlText w:val="%9."/>
      <w:lvlJc w:val="left"/>
      <w:pPr>
        <w:tabs>
          <w:tab w:val="left" w:pos="5760"/>
        </w:tabs>
        <w:ind w:left="5760" w:hanging="720"/>
      </w:pPr>
      <w:rPr>
        <w:rFonts w:ascii="Times New Roman" w:hAnsi="Times New Roman" w:hint="default"/>
        <w:b w:val="0"/>
        <w:i w:val="0"/>
        <w:sz w:val="22"/>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proofState w:spelling="clean" w:grammar="clean"/>
  <w:defaultTabStop w:val="42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jcxMDYwsrA0NzI3MzVQ0lEKTi0uzszPAykwqgUABfCakywAAAA="/>
    <w:docVar w:name="commondata" w:val="eyJoZGlkIjoiMGI4YTY2NzNjYzhhMDBjYjhiZDFjNDRhZjk5ZjcyM2MifQ=="/>
  </w:docVars>
  <w:rsids>
    <w:rsidRoot w:val="00D95528"/>
    <w:rsid w:val="00004F2C"/>
    <w:rsid w:val="0002291E"/>
    <w:rsid w:val="000308BA"/>
    <w:rsid w:val="00032424"/>
    <w:rsid w:val="00042361"/>
    <w:rsid w:val="00050054"/>
    <w:rsid w:val="000522AE"/>
    <w:rsid w:val="000643D5"/>
    <w:rsid w:val="00071365"/>
    <w:rsid w:val="00086045"/>
    <w:rsid w:val="00093D24"/>
    <w:rsid w:val="000B220B"/>
    <w:rsid w:val="000C6E3B"/>
    <w:rsid w:val="000C7D15"/>
    <w:rsid w:val="00107A45"/>
    <w:rsid w:val="00111D59"/>
    <w:rsid w:val="00141873"/>
    <w:rsid w:val="001637EB"/>
    <w:rsid w:val="001843E2"/>
    <w:rsid w:val="001855D8"/>
    <w:rsid w:val="00187B27"/>
    <w:rsid w:val="00190767"/>
    <w:rsid w:val="001E08E3"/>
    <w:rsid w:val="001E6BB0"/>
    <w:rsid w:val="001F3B33"/>
    <w:rsid w:val="001F7709"/>
    <w:rsid w:val="0021768C"/>
    <w:rsid w:val="00232A4F"/>
    <w:rsid w:val="00267F5F"/>
    <w:rsid w:val="00276021"/>
    <w:rsid w:val="00293BC7"/>
    <w:rsid w:val="00294F90"/>
    <w:rsid w:val="002A07A6"/>
    <w:rsid w:val="002C2C18"/>
    <w:rsid w:val="002D0671"/>
    <w:rsid w:val="002E08D5"/>
    <w:rsid w:val="002E0D6D"/>
    <w:rsid w:val="002F33D1"/>
    <w:rsid w:val="00315077"/>
    <w:rsid w:val="00334248"/>
    <w:rsid w:val="003558A9"/>
    <w:rsid w:val="0037167E"/>
    <w:rsid w:val="00373B11"/>
    <w:rsid w:val="003766F6"/>
    <w:rsid w:val="00395E9F"/>
    <w:rsid w:val="003B0872"/>
    <w:rsid w:val="003B1E40"/>
    <w:rsid w:val="003C092D"/>
    <w:rsid w:val="003C17EF"/>
    <w:rsid w:val="003C582F"/>
    <w:rsid w:val="003E3E17"/>
    <w:rsid w:val="00452649"/>
    <w:rsid w:val="00465CDF"/>
    <w:rsid w:val="004746A7"/>
    <w:rsid w:val="00480098"/>
    <w:rsid w:val="00485DEF"/>
    <w:rsid w:val="0049159A"/>
    <w:rsid w:val="004A3B9C"/>
    <w:rsid w:val="004B1AD8"/>
    <w:rsid w:val="004C59A8"/>
    <w:rsid w:val="004D08EE"/>
    <w:rsid w:val="004D5BCF"/>
    <w:rsid w:val="004E3756"/>
    <w:rsid w:val="004F0CAE"/>
    <w:rsid w:val="005049CE"/>
    <w:rsid w:val="00506AEE"/>
    <w:rsid w:val="005203CF"/>
    <w:rsid w:val="00521E65"/>
    <w:rsid w:val="00553DB1"/>
    <w:rsid w:val="00567980"/>
    <w:rsid w:val="005719A1"/>
    <w:rsid w:val="00581308"/>
    <w:rsid w:val="005C70DE"/>
    <w:rsid w:val="005D0071"/>
    <w:rsid w:val="00607CCB"/>
    <w:rsid w:val="00607E60"/>
    <w:rsid w:val="00617F3B"/>
    <w:rsid w:val="00621B9D"/>
    <w:rsid w:val="00627F80"/>
    <w:rsid w:val="00631DC8"/>
    <w:rsid w:val="006351DC"/>
    <w:rsid w:val="00663CC1"/>
    <w:rsid w:val="0066554A"/>
    <w:rsid w:val="00666AFF"/>
    <w:rsid w:val="006C2FCB"/>
    <w:rsid w:val="006D0193"/>
    <w:rsid w:val="00716981"/>
    <w:rsid w:val="00722805"/>
    <w:rsid w:val="0072348C"/>
    <w:rsid w:val="0072378C"/>
    <w:rsid w:val="007258A8"/>
    <w:rsid w:val="0073536D"/>
    <w:rsid w:val="00746FB8"/>
    <w:rsid w:val="00751AD7"/>
    <w:rsid w:val="00770759"/>
    <w:rsid w:val="00781138"/>
    <w:rsid w:val="0078363C"/>
    <w:rsid w:val="00784597"/>
    <w:rsid w:val="007D6854"/>
    <w:rsid w:val="007F656B"/>
    <w:rsid w:val="00826757"/>
    <w:rsid w:val="00881504"/>
    <w:rsid w:val="00882A18"/>
    <w:rsid w:val="008E18AF"/>
    <w:rsid w:val="008E3D79"/>
    <w:rsid w:val="009049D1"/>
    <w:rsid w:val="009154CC"/>
    <w:rsid w:val="00922763"/>
    <w:rsid w:val="00923300"/>
    <w:rsid w:val="00946CD5"/>
    <w:rsid w:val="009675D6"/>
    <w:rsid w:val="00981865"/>
    <w:rsid w:val="0098379E"/>
    <w:rsid w:val="00996CD7"/>
    <w:rsid w:val="009B3212"/>
    <w:rsid w:val="009C098E"/>
    <w:rsid w:val="009D49DF"/>
    <w:rsid w:val="009E72C4"/>
    <w:rsid w:val="009F4539"/>
    <w:rsid w:val="00A00ED6"/>
    <w:rsid w:val="00A0233F"/>
    <w:rsid w:val="00A11A25"/>
    <w:rsid w:val="00A20356"/>
    <w:rsid w:val="00A36390"/>
    <w:rsid w:val="00A737E4"/>
    <w:rsid w:val="00AC0721"/>
    <w:rsid w:val="00AC4701"/>
    <w:rsid w:val="00AC5B21"/>
    <w:rsid w:val="00AC784A"/>
    <w:rsid w:val="00B05FC3"/>
    <w:rsid w:val="00B1421F"/>
    <w:rsid w:val="00B24903"/>
    <w:rsid w:val="00B2771F"/>
    <w:rsid w:val="00B317C1"/>
    <w:rsid w:val="00B32007"/>
    <w:rsid w:val="00B36B8C"/>
    <w:rsid w:val="00B51EFC"/>
    <w:rsid w:val="00B81737"/>
    <w:rsid w:val="00B82EE0"/>
    <w:rsid w:val="00B85C4C"/>
    <w:rsid w:val="00BC5AE8"/>
    <w:rsid w:val="00BD1FAE"/>
    <w:rsid w:val="00BD6CF8"/>
    <w:rsid w:val="00C003ED"/>
    <w:rsid w:val="00C07790"/>
    <w:rsid w:val="00C21E51"/>
    <w:rsid w:val="00C467C8"/>
    <w:rsid w:val="00C478B8"/>
    <w:rsid w:val="00C528DA"/>
    <w:rsid w:val="00C544AC"/>
    <w:rsid w:val="00C77509"/>
    <w:rsid w:val="00C80B38"/>
    <w:rsid w:val="00C835DD"/>
    <w:rsid w:val="00C937B3"/>
    <w:rsid w:val="00CA19EB"/>
    <w:rsid w:val="00CA39BE"/>
    <w:rsid w:val="00CF3195"/>
    <w:rsid w:val="00D16A50"/>
    <w:rsid w:val="00D31A43"/>
    <w:rsid w:val="00D60EDF"/>
    <w:rsid w:val="00D927A9"/>
    <w:rsid w:val="00D95528"/>
    <w:rsid w:val="00DB50EF"/>
    <w:rsid w:val="00DB527D"/>
    <w:rsid w:val="00DC0CC5"/>
    <w:rsid w:val="00DE7164"/>
    <w:rsid w:val="00DF331B"/>
    <w:rsid w:val="00E065A7"/>
    <w:rsid w:val="00E07375"/>
    <w:rsid w:val="00E2041C"/>
    <w:rsid w:val="00E5119C"/>
    <w:rsid w:val="00EE5FEA"/>
    <w:rsid w:val="00F442C1"/>
    <w:rsid w:val="00F51D73"/>
    <w:rsid w:val="00F72E89"/>
    <w:rsid w:val="00FA2512"/>
    <w:rsid w:val="00FD55A5"/>
    <w:rsid w:val="00FD7713"/>
    <w:rsid w:val="0333568C"/>
    <w:rsid w:val="034F1499"/>
    <w:rsid w:val="041458BA"/>
    <w:rsid w:val="061816F7"/>
    <w:rsid w:val="091415FB"/>
    <w:rsid w:val="09CF72EA"/>
    <w:rsid w:val="0A4A209B"/>
    <w:rsid w:val="0C3338D5"/>
    <w:rsid w:val="0D4C0528"/>
    <w:rsid w:val="11946BC3"/>
    <w:rsid w:val="13570820"/>
    <w:rsid w:val="14A04BFA"/>
    <w:rsid w:val="174F1E3A"/>
    <w:rsid w:val="19A52E4A"/>
    <w:rsid w:val="1BC3620B"/>
    <w:rsid w:val="1D8E3BF5"/>
    <w:rsid w:val="1FD9384E"/>
    <w:rsid w:val="210D7225"/>
    <w:rsid w:val="24286B52"/>
    <w:rsid w:val="256158E8"/>
    <w:rsid w:val="29AC3636"/>
    <w:rsid w:val="29FA689B"/>
    <w:rsid w:val="2CAE22D6"/>
    <w:rsid w:val="2D04674A"/>
    <w:rsid w:val="2F0A6DBA"/>
    <w:rsid w:val="2F923EFA"/>
    <w:rsid w:val="32BE3742"/>
    <w:rsid w:val="353E341E"/>
    <w:rsid w:val="3573279B"/>
    <w:rsid w:val="3C3C3B7A"/>
    <w:rsid w:val="3E7556CB"/>
    <w:rsid w:val="40DD0533"/>
    <w:rsid w:val="411F5B53"/>
    <w:rsid w:val="424D6740"/>
    <w:rsid w:val="42C43A92"/>
    <w:rsid w:val="44732792"/>
    <w:rsid w:val="44A511E7"/>
    <w:rsid w:val="481E266D"/>
    <w:rsid w:val="4836736F"/>
    <w:rsid w:val="48AC2207"/>
    <w:rsid w:val="49942DA0"/>
    <w:rsid w:val="50F80849"/>
    <w:rsid w:val="597015BE"/>
    <w:rsid w:val="5B4F731A"/>
    <w:rsid w:val="5E4701A8"/>
    <w:rsid w:val="5F1B3FC3"/>
    <w:rsid w:val="5F5D3113"/>
    <w:rsid w:val="603B4F3C"/>
    <w:rsid w:val="613F701F"/>
    <w:rsid w:val="637D6011"/>
    <w:rsid w:val="65865A21"/>
    <w:rsid w:val="67EE1387"/>
    <w:rsid w:val="6A883533"/>
    <w:rsid w:val="6DCD3156"/>
    <w:rsid w:val="6F4A21CC"/>
    <w:rsid w:val="6FEB1532"/>
    <w:rsid w:val="70E84EBF"/>
    <w:rsid w:val="713479F5"/>
    <w:rsid w:val="73084D80"/>
    <w:rsid w:val="74E44527"/>
    <w:rsid w:val="7712708C"/>
    <w:rsid w:val="77DC7170"/>
    <w:rsid w:val="78DE7D85"/>
    <w:rsid w:val="79C05F2D"/>
    <w:rsid w:val="7AD63D87"/>
    <w:rsid w:val="7BD641E4"/>
    <w:rsid w:val="7C7E46D6"/>
    <w:rsid w:val="7DBE6D89"/>
    <w:rsid w:val="7DF503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fillcolor="white">
      <v:fill color="white"/>
    </o:shapedefaults>
    <o:shapelayout v:ext="edit">
      <o:idmap v:ext="edit" data="1"/>
    </o:shapelayout>
  </w:shapeDefaults>
  <w:decimalSymbol w:val="."/>
  <w:listSeparator w:val=","/>
  <w14:docId w14:val="1551920D"/>
  <w15:docId w15:val="{EFE43F53-E930-430E-A4EE-E2CFFA72B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Theme="minorHAnsi" w:eastAsiaTheme="minorEastAsia" w:hAnsiTheme="minorHAnsi" w:cstheme="minorBidi"/>
      <w:kern w:val="2"/>
      <w:sz w:val="21"/>
      <w:szCs w:val="22"/>
      <w:lang w:val="en-GB"/>
    </w:rPr>
  </w:style>
  <w:style w:type="paragraph" w:styleId="1">
    <w:name w:val="heading 1"/>
    <w:basedOn w:val="a"/>
    <w:next w:val="a"/>
    <w:link w:val="10"/>
    <w:qFormat/>
    <w:pPr>
      <w:widowControl/>
      <w:numPr>
        <w:numId w:val="1"/>
      </w:numPr>
      <w:spacing w:before="320" w:line="300" w:lineRule="atLeast"/>
      <w:outlineLvl w:val="0"/>
    </w:pPr>
    <w:rPr>
      <w:rFonts w:ascii="Times New Roman" w:eastAsia="宋体" w:hAnsi="Times New Roman" w:cs="Times New Roman"/>
      <w:b/>
      <w:smallCaps/>
      <w:kern w:val="28"/>
      <w:sz w:val="22"/>
      <w:szCs w:val="20"/>
      <w:lang w:eastAsia="en-US"/>
    </w:rPr>
  </w:style>
  <w:style w:type="paragraph" w:styleId="2">
    <w:name w:val="heading 2"/>
    <w:basedOn w:val="a"/>
    <w:next w:val="a"/>
    <w:link w:val="20"/>
    <w:qFormat/>
    <w:pPr>
      <w:widowControl/>
      <w:numPr>
        <w:ilvl w:val="1"/>
        <w:numId w:val="1"/>
      </w:numPr>
      <w:spacing w:before="280" w:after="120" w:line="300" w:lineRule="atLeast"/>
      <w:outlineLvl w:val="1"/>
    </w:pPr>
    <w:rPr>
      <w:rFonts w:ascii="Times New Roman" w:eastAsia="宋体" w:hAnsi="Times New Roman" w:cs="Times New Roman"/>
      <w:color w:val="000000"/>
      <w:kern w:val="0"/>
      <w:sz w:val="22"/>
      <w:szCs w:val="20"/>
      <w:lang w:eastAsia="en-US"/>
    </w:rPr>
  </w:style>
  <w:style w:type="paragraph" w:styleId="3">
    <w:name w:val="heading 3"/>
    <w:basedOn w:val="a"/>
    <w:next w:val="a"/>
    <w:link w:val="30"/>
    <w:qFormat/>
    <w:pPr>
      <w:widowControl/>
      <w:numPr>
        <w:ilvl w:val="2"/>
        <w:numId w:val="1"/>
      </w:numPr>
      <w:spacing w:after="120" w:line="300" w:lineRule="atLeast"/>
      <w:outlineLvl w:val="2"/>
    </w:pPr>
    <w:rPr>
      <w:rFonts w:ascii="Times New Roman" w:eastAsia="宋体" w:hAnsi="Times New Roman" w:cs="Times New Roman"/>
      <w:kern w:val="0"/>
      <w:sz w:val="22"/>
      <w:szCs w:val="20"/>
      <w:lang w:eastAsia="en-US"/>
    </w:rPr>
  </w:style>
  <w:style w:type="paragraph" w:styleId="4">
    <w:name w:val="heading 4"/>
    <w:basedOn w:val="a"/>
    <w:next w:val="a"/>
    <w:link w:val="40"/>
    <w:qFormat/>
    <w:pPr>
      <w:widowControl/>
      <w:numPr>
        <w:ilvl w:val="3"/>
        <w:numId w:val="1"/>
      </w:numPr>
      <w:tabs>
        <w:tab w:val="left" w:pos="2261"/>
      </w:tabs>
      <w:spacing w:after="120" w:line="300" w:lineRule="atLeast"/>
      <w:outlineLvl w:val="3"/>
    </w:pPr>
    <w:rPr>
      <w:rFonts w:ascii="Times New Roman" w:eastAsia="宋体" w:hAnsi="Times New Roman" w:cs="Times New Roman"/>
      <w:kern w:val="0"/>
      <w:sz w:val="22"/>
      <w:szCs w:val="20"/>
      <w:lang w:eastAsia="en-US"/>
    </w:rPr>
  </w:style>
  <w:style w:type="paragraph" w:styleId="5">
    <w:name w:val="heading 5"/>
    <w:basedOn w:val="a"/>
    <w:next w:val="a"/>
    <w:link w:val="50"/>
    <w:qFormat/>
    <w:pPr>
      <w:widowControl/>
      <w:numPr>
        <w:ilvl w:val="4"/>
        <w:numId w:val="1"/>
      </w:numPr>
      <w:spacing w:after="120" w:line="300" w:lineRule="atLeast"/>
      <w:outlineLvl w:val="4"/>
    </w:pPr>
    <w:rPr>
      <w:rFonts w:ascii="Times New Roman" w:eastAsia="宋体" w:hAnsi="Times New Roman" w:cs="Times New Roman"/>
      <w:kern w:val="0"/>
      <w:sz w:val="22"/>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pPr>
      <w:widowControl/>
      <w:spacing w:line="200" w:lineRule="atLeast"/>
      <w:jc w:val="left"/>
    </w:pPr>
    <w:rPr>
      <w:rFonts w:ascii="Times New Roman" w:eastAsia="宋体" w:hAnsi="Times New Roman" w:cs="Times New Roman"/>
      <w:kern w:val="0"/>
      <w:sz w:val="20"/>
      <w:szCs w:val="20"/>
      <w:lang w:eastAsia="en-US"/>
    </w:rPr>
  </w:style>
  <w:style w:type="paragraph" w:styleId="a5">
    <w:name w:val="Balloon Text"/>
    <w:basedOn w:val="a"/>
    <w:link w:val="a6"/>
    <w:uiPriority w:val="99"/>
    <w:semiHidden/>
    <w:unhideWhenUsed/>
    <w:qFormat/>
    <w:rPr>
      <w:rFonts w:ascii="Heiti SC Light" w:eastAsia="Heiti SC Light"/>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paragraph" w:styleId="ab">
    <w:name w:val="Normal (Web)"/>
    <w:basedOn w:val="a"/>
    <w:uiPriority w:val="99"/>
    <w:semiHidden/>
    <w:unhideWhenUsed/>
    <w:qFormat/>
    <w:pPr>
      <w:spacing w:beforeAutospacing="1" w:afterAutospacing="1"/>
      <w:jc w:val="left"/>
    </w:pPr>
    <w:rPr>
      <w:rFonts w:cs="Times New Roman"/>
      <w:kern w:val="0"/>
      <w:sz w:val="24"/>
    </w:rPr>
  </w:style>
  <w:style w:type="paragraph" w:styleId="ac">
    <w:name w:val="annotation subject"/>
    <w:basedOn w:val="a3"/>
    <w:next w:val="a3"/>
    <w:link w:val="ad"/>
    <w:uiPriority w:val="99"/>
    <w:semiHidden/>
    <w:unhideWhenUsed/>
    <w:qFormat/>
    <w:pPr>
      <w:widowControl w:val="0"/>
      <w:spacing w:line="240" w:lineRule="auto"/>
    </w:pPr>
    <w:rPr>
      <w:rFonts w:asciiTheme="minorHAnsi" w:eastAsiaTheme="minorEastAsia" w:hAnsiTheme="minorHAnsi" w:cstheme="minorBidi"/>
      <w:b/>
      <w:bCs/>
      <w:kern w:val="2"/>
      <w:sz w:val="21"/>
      <w:szCs w:val="22"/>
      <w:lang w:eastAsia="zh-CN"/>
    </w:rPr>
  </w:style>
  <w:style w:type="table" w:styleId="ae">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Hyperlink"/>
    <w:basedOn w:val="a0"/>
    <w:uiPriority w:val="99"/>
    <w:semiHidden/>
    <w:unhideWhenUsed/>
    <w:qFormat/>
    <w:rPr>
      <w:color w:val="0000FF"/>
      <w:u w:val="single"/>
    </w:rPr>
  </w:style>
  <w:style w:type="character" w:styleId="af0">
    <w:name w:val="annotation reference"/>
    <w:qFormat/>
    <w:rPr>
      <w:sz w:val="16"/>
      <w:szCs w:val="16"/>
    </w:rPr>
  </w:style>
  <w:style w:type="character" w:customStyle="1" w:styleId="aa">
    <w:name w:val="页眉 字符"/>
    <w:basedOn w:val="a0"/>
    <w:link w:val="a9"/>
    <w:uiPriority w:val="99"/>
    <w:qFormat/>
    <w:rPr>
      <w:rFonts w:asciiTheme="minorHAnsi" w:eastAsiaTheme="minorEastAsia" w:hAnsiTheme="minorHAnsi" w:cstheme="minorBidi"/>
      <w:kern w:val="2"/>
      <w:sz w:val="18"/>
      <w:szCs w:val="18"/>
    </w:rPr>
  </w:style>
  <w:style w:type="character" w:customStyle="1" w:styleId="a8">
    <w:name w:val="页脚 字符"/>
    <w:basedOn w:val="a0"/>
    <w:link w:val="a7"/>
    <w:uiPriority w:val="99"/>
    <w:qFormat/>
    <w:rPr>
      <w:rFonts w:asciiTheme="minorHAnsi" w:eastAsiaTheme="minorEastAsia" w:hAnsiTheme="minorHAnsi" w:cstheme="minorBidi"/>
      <w:kern w:val="2"/>
      <w:sz w:val="18"/>
      <w:szCs w:val="18"/>
    </w:rPr>
  </w:style>
  <w:style w:type="paragraph" w:styleId="af1">
    <w:name w:val="List Paragraph"/>
    <w:basedOn w:val="a"/>
    <w:uiPriority w:val="99"/>
    <w:qFormat/>
    <w:pPr>
      <w:ind w:firstLineChars="200" w:firstLine="420"/>
    </w:pPr>
  </w:style>
  <w:style w:type="character" w:customStyle="1" w:styleId="a6">
    <w:name w:val="批注框文本 字符"/>
    <w:basedOn w:val="a0"/>
    <w:link w:val="a5"/>
    <w:uiPriority w:val="99"/>
    <w:semiHidden/>
    <w:qFormat/>
    <w:rPr>
      <w:rFonts w:ascii="Heiti SC Light" w:eastAsia="Heiti SC Light" w:hAnsiTheme="minorHAnsi" w:cstheme="minorBidi"/>
      <w:kern w:val="2"/>
      <w:sz w:val="18"/>
      <w:szCs w:val="18"/>
    </w:rPr>
  </w:style>
  <w:style w:type="paragraph" w:customStyle="1" w:styleId="src">
    <w:name w:val="src"/>
    <w:basedOn w:val="a"/>
    <w:qFormat/>
    <w:pPr>
      <w:widowControl/>
      <w:spacing w:before="100" w:beforeAutospacing="1" w:after="100" w:afterAutospacing="1"/>
      <w:jc w:val="left"/>
    </w:pPr>
    <w:rPr>
      <w:rFonts w:ascii="宋体" w:eastAsia="宋体" w:hAnsi="宋体" w:cs="宋体"/>
      <w:kern w:val="0"/>
      <w:sz w:val="24"/>
      <w:szCs w:val="24"/>
    </w:rPr>
  </w:style>
  <w:style w:type="character" w:customStyle="1" w:styleId="skip">
    <w:name w:val="skip"/>
    <w:basedOn w:val="a0"/>
    <w:qFormat/>
  </w:style>
  <w:style w:type="paragraph" w:customStyle="1" w:styleId="Default">
    <w:name w:val="Default"/>
    <w:qFormat/>
    <w:pPr>
      <w:widowControl w:val="0"/>
      <w:autoSpaceDE w:val="0"/>
      <w:autoSpaceDN w:val="0"/>
      <w:adjustRightInd w:val="0"/>
    </w:pPr>
    <w:rPr>
      <w:rFonts w:ascii="Calibri" w:hAnsi="Calibri" w:cs="Calibri"/>
      <w:color w:val="000000"/>
      <w:sz w:val="24"/>
      <w:szCs w:val="24"/>
      <w:lang w:val="en-GB"/>
    </w:rPr>
  </w:style>
  <w:style w:type="character" w:customStyle="1" w:styleId="apple-converted-space">
    <w:name w:val="apple-converted-space"/>
    <w:basedOn w:val="a0"/>
    <w:qFormat/>
  </w:style>
  <w:style w:type="character" w:customStyle="1" w:styleId="10">
    <w:name w:val="标题 1 字符"/>
    <w:basedOn w:val="a0"/>
    <w:link w:val="1"/>
    <w:qFormat/>
    <w:rPr>
      <w:b/>
      <w:smallCaps/>
      <w:kern w:val="28"/>
      <w:sz w:val="22"/>
      <w:lang w:val="en-GB" w:eastAsia="en-US"/>
    </w:rPr>
  </w:style>
  <w:style w:type="character" w:customStyle="1" w:styleId="20">
    <w:name w:val="标题 2 字符"/>
    <w:basedOn w:val="a0"/>
    <w:link w:val="2"/>
    <w:qFormat/>
    <w:rPr>
      <w:color w:val="000000"/>
      <w:sz w:val="22"/>
      <w:lang w:val="en-GB" w:eastAsia="en-US"/>
    </w:rPr>
  </w:style>
  <w:style w:type="character" w:customStyle="1" w:styleId="30">
    <w:name w:val="标题 3 字符"/>
    <w:basedOn w:val="a0"/>
    <w:link w:val="3"/>
    <w:qFormat/>
    <w:rPr>
      <w:sz w:val="22"/>
      <w:lang w:val="en-GB" w:eastAsia="en-US"/>
    </w:rPr>
  </w:style>
  <w:style w:type="character" w:customStyle="1" w:styleId="40">
    <w:name w:val="标题 4 字符"/>
    <w:basedOn w:val="a0"/>
    <w:link w:val="4"/>
    <w:qFormat/>
    <w:rPr>
      <w:sz w:val="22"/>
      <w:lang w:val="en-GB" w:eastAsia="en-US"/>
    </w:rPr>
  </w:style>
  <w:style w:type="character" w:customStyle="1" w:styleId="50">
    <w:name w:val="标题 5 字符"/>
    <w:basedOn w:val="a0"/>
    <w:link w:val="5"/>
    <w:qFormat/>
    <w:rPr>
      <w:sz w:val="22"/>
      <w:lang w:val="en-GB" w:eastAsia="en-US"/>
    </w:rPr>
  </w:style>
  <w:style w:type="character" w:customStyle="1" w:styleId="a4">
    <w:name w:val="批注文字 字符"/>
    <w:basedOn w:val="a0"/>
    <w:link w:val="a3"/>
    <w:qFormat/>
    <w:rPr>
      <w:lang w:val="en-GB" w:eastAsia="en-US"/>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val="en-GB"/>
    </w:rPr>
  </w:style>
  <w:style w:type="character" w:customStyle="1" w:styleId="ad">
    <w:name w:val="批注主题 字符"/>
    <w:basedOn w:val="a4"/>
    <w:link w:val="ac"/>
    <w:uiPriority w:val="99"/>
    <w:semiHidden/>
    <w:qFormat/>
    <w:rPr>
      <w:rFonts w:asciiTheme="minorHAnsi" w:eastAsiaTheme="minorEastAsia" w:hAnsiTheme="minorHAnsi" w:cstheme="minorBidi"/>
      <w:b/>
      <w:bCs/>
      <w:kern w:val="2"/>
      <w:sz w:val="21"/>
      <w:szCs w:val="22"/>
      <w:lang w:val="en-GB" w:eastAsia="en-US"/>
    </w:rPr>
  </w:style>
  <w:style w:type="paragraph" w:customStyle="1" w:styleId="11">
    <w:name w:val="样式1"/>
    <w:basedOn w:val="a"/>
    <w:qFormat/>
    <w:pPr>
      <w:keepNext/>
      <w:snapToGrid w:val="0"/>
      <w:spacing w:line="312" w:lineRule="auto"/>
      <w:jc w:val="left"/>
    </w:pPr>
    <w:rPr>
      <w:rFonts w:ascii="Arial" w:hAnsi="Arial" w:cs="Arial"/>
      <w:b/>
      <w:bCs/>
      <w:color w:val="009384"/>
      <w:sz w:val="17"/>
      <w:szCs w:val="17"/>
    </w:rPr>
  </w:style>
  <w:style w:type="paragraph" w:customStyle="1" w:styleId="21">
    <w:name w:val="样式2"/>
    <w:basedOn w:val="11"/>
    <w:qFormat/>
    <w:pPr>
      <w:spacing w:beforeLines="50" w:before="50" w:afterLines="50" w:after="50"/>
    </w:pPr>
    <w:rPr>
      <w:color w:val="auto"/>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14.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7.png"/><Relationship Id="rId22" Type="http://schemas.openxmlformats.org/officeDocument/2006/relationships/image" Target="media/image15.png"/></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CAFDF6-2799-4C80-A44A-1A9DAEA6F7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5</Pages>
  <Words>2954</Words>
  <Characters>16844</Characters>
  <Application>Microsoft Office Word</Application>
  <DocSecurity>0</DocSecurity>
  <Lines>140</Lines>
  <Paragraphs>39</Paragraphs>
  <ScaleCrop>false</ScaleCrop>
  <Company>Microsoft</Company>
  <LinksUpToDate>false</LinksUpToDate>
  <CharactersWithSpaces>19759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dc:creator>
  <cp:lastModifiedBy>Midea</cp:lastModifiedBy>
  <cp:revision>84</cp:revision>
  <cp:lastPrinted>2020-03-09T13:06:00Z</cp:lastPrinted>
  <dcterms:created xsi:type="dcterms:W3CDTF">2023-08-25T03:30:00Z</dcterms:created>
  <dcterms:modified xsi:type="dcterms:W3CDTF">2024-07-10T07:33:00Z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34E2FFB61ECF40BB816BBECC9ED9959C_12</vt:lpwstr>
  </property>
</Properties>
</file>